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E882" w14:textId="77777777" w:rsidR="008D1A73" w:rsidRPr="00F33853" w:rsidRDefault="008D1A73" w:rsidP="008D1A73">
      <w:pPr>
        <w:pStyle w:val="Titel"/>
        <w:rPr>
          <w:lang w:val="fr-BE"/>
        </w:rPr>
      </w:pPr>
      <w:r w:rsidRPr="00F33853">
        <w:rPr>
          <w:lang w:val="fr-BE"/>
        </w:rPr>
        <w:t xml:space="preserve">MODULE </w:t>
      </w:r>
      <w:r w:rsidR="00C040F1" w:rsidRPr="00F33853">
        <w:rPr>
          <w:lang w:val="fr-BE"/>
        </w:rPr>
        <w:t>C</w:t>
      </w:r>
      <w:r w:rsidR="00BF3164" w:rsidRPr="00F33853">
        <w:rPr>
          <w:lang w:val="fr-BE"/>
        </w:rPr>
        <w:t xml:space="preserve"> </w:t>
      </w:r>
      <w:r w:rsidRPr="00F33853">
        <w:rPr>
          <w:lang w:val="fr-BE"/>
        </w:rPr>
        <w:t xml:space="preserve">: </w:t>
      </w:r>
      <w:r w:rsidR="006101B8" w:rsidRPr="00F33853">
        <w:rPr>
          <w:lang w:val="fr-BE"/>
        </w:rPr>
        <w:t>RAPPORT DE L’AUDITEUR PRINCIPAL</w:t>
      </w:r>
    </w:p>
    <w:p w14:paraId="3F8B919A" w14:textId="272BD8AD" w:rsidR="008D1A73" w:rsidRPr="00B96276" w:rsidRDefault="008D1A73" w:rsidP="008D1A73">
      <w:pPr>
        <w:pStyle w:val="Titel"/>
      </w:pPr>
      <w:r w:rsidRPr="00B96276">
        <w:t>(</w:t>
      </w:r>
      <w:r w:rsidR="00B96276" w:rsidRPr="00B96276">
        <w:t xml:space="preserve">EN </w:t>
      </w:r>
      <w:r w:rsidR="002777A6" w:rsidRPr="00B96276">
        <w:t>ISO 15189:2012 + EN ISO/IEC 17025:2017</w:t>
      </w:r>
      <w:r w:rsidRPr="00B96276">
        <w:t>)</w:t>
      </w:r>
    </w:p>
    <w:p w14:paraId="685D9AA2" w14:textId="77777777" w:rsidR="006101B8" w:rsidRPr="00F33853" w:rsidRDefault="006101B8" w:rsidP="006101B8">
      <w:pPr>
        <w:pStyle w:val="Kop1"/>
        <w:rPr>
          <w:lang w:val="fr-BE"/>
        </w:rPr>
      </w:pPr>
      <w:bookmarkStart w:id="0" w:name="_Hlk70335365"/>
      <w:r w:rsidRPr="00F33853">
        <w:rPr>
          <w:lang w:val="fr-BE"/>
        </w:rPr>
        <w:t>Représentants de l’organisme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1C227D" w:rsidRPr="00F33853" w14:paraId="7A00A91E" w14:textId="77777777" w:rsidTr="00BE4D7A">
        <w:trPr>
          <w:trHeight w:val="454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6A0222F3" w14:textId="77777777" w:rsidR="001C227D" w:rsidRPr="00F33853" w:rsidRDefault="006101B8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Fonction</w:t>
            </w:r>
            <w:r w:rsidR="00BE4D7A" w:rsidRPr="00F33853">
              <w:rPr>
                <w:lang w:val="fr-BE"/>
              </w:rPr>
              <w:t xml:space="preserve"> </w:t>
            </w:r>
            <w:r w:rsidR="004F14F7" w:rsidRPr="00F33853">
              <w:rPr>
                <w:vertAlign w:val="superscript"/>
                <w:lang w:val="fr-BE"/>
              </w:rPr>
              <w:t xml:space="preserve">Peut </w:t>
            </w:r>
            <w:r w:rsidR="00BF3164" w:rsidRPr="00F33853">
              <w:rPr>
                <w:vertAlign w:val="superscript"/>
                <w:lang w:val="fr-BE"/>
              </w:rPr>
              <w:t xml:space="preserve">être modifiée </w:t>
            </w:r>
            <w:r w:rsidR="00BE4D7A" w:rsidRPr="00F33853">
              <w:rPr>
                <w:vertAlign w:val="superscript"/>
                <w:lang w:val="fr-BE"/>
              </w:rPr>
              <w:t>selon la dénomination propre à l’organisme</w:t>
            </w:r>
          </w:p>
        </w:tc>
        <w:tc>
          <w:tcPr>
            <w:tcW w:w="2500" w:type="pct"/>
            <w:vAlign w:val="center"/>
          </w:tcPr>
          <w:p w14:paraId="6F03A5E8" w14:textId="77777777" w:rsidR="001C227D" w:rsidRPr="00F33853" w:rsidRDefault="001C227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N</w:t>
            </w:r>
            <w:r w:rsidR="006101B8" w:rsidRPr="00F33853">
              <w:rPr>
                <w:lang w:val="fr-BE"/>
              </w:rPr>
              <w:t>o</w:t>
            </w:r>
            <w:r w:rsidRPr="00F33853">
              <w:rPr>
                <w:lang w:val="fr-BE"/>
              </w:rPr>
              <w:t>m</w:t>
            </w:r>
          </w:p>
        </w:tc>
      </w:tr>
      <w:tr w:rsidR="001C227D" w:rsidRPr="00F33853" w14:paraId="678DA937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0664DD36" w14:textId="77777777" w:rsidR="001C227D" w:rsidRPr="00F33853" w:rsidRDefault="006101B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Responsable système de management</w:t>
            </w:r>
          </w:p>
        </w:tc>
        <w:tc>
          <w:tcPr>
            <w:tcW w:w="2500" w:type="pct"/>
            <w:vAlign w:val="center"/>
          </w:tcPr>
          <w:p w14:paraId="66871717" w14:textId="77777777" w:rsidR="001C227D" w:rsidRPr="00F33853" w:rsidRDefault="001C227D" w:rsidP="00F33853">
            <w:pPr>
              <w:pStyle w:val="Tabelinhoud"/>
              <w:rPr>
                <w:lang w:val="fr-BE"/>
              </w:rPr>
            </w:pPr>
          </w:p>
        </w:tc>
      </w:tr>
      <w:tr w:rsidR="001C227D" w:rsidRPr="00F33853" w14:paraId="05D3050E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40A19758" w14:textId="77777777" w:rsidR="001C227D" w:rsidRPr="00F33853" w:rsidRDefault="006101B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Responsable technique</w:t>
            </w:r>
          </w:p>
        </w:tc>
        <w:tc>
          <w:tcPr>
            <w:tcW w:w="2500" w:type="pct"/>
            <w:vAlign w:val="center"/>
          </w:tcPr>
          <w:p w14:paraId="1237E82F" w14:textId="77777777" w:rsidR="001C227D" w:rsidRPr="00F33853" w:rsidRDefault="001C227D" w:rsidP="00F33853">
            <w:pPr>
              <w:pStyle w:val="Tabelinhoud"/>
              <w:rPr>
                <w:lang w:val="fr-BE"/>
              </w:rPr>
            </w:pPr>
          </w:p>
        </w:tc>
      </w:tr>
      <w:tr w:rsidR="001F52F6" w:rsidRPr="00F33853" w14:paraId="10AB404D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0B75A37C" w14:textId="77777777" w:rsidR="001F52F6" w:rsidRPr="00F33853" w:rsidRDefault="001F52F6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…</w:t>
            </w:r>
          </w:p>
        </w:tc>
        <w:tc>
          <w:tcPr>
            <w:tcW w:w="2500" w:type="pct"/>
            <w:vAlign w:val="center"/>
          </w:tcPr>
          <w:p w14:paraId="3B0D84C5" w14:textId="77777777" w:rsidR="001F52F6" w:rsidRPr="00F33853" w:rsidRDefault="001F52F6" w:rsidP="00F33853">
            <w:pPr>
              <w:pStyle w:val="Tabelinhoud"/>
              <w:rPr>
                <w:lang w:val="fr-BE"/>
              </w:rPr>
            </w:pPr>
          </w:p>
        </w:tc>
      </w:tr>
    </w:tbl>
    <w:bookmarkEnd w:id="0"/>
    <w:p w14:paraId="14CE8F6F" w14:textId="0886D7C9" w:rsidR="00075E08" w:rsidRPr="00F33853" w:rsidRDefault="00F73A4D" w:rsidP="006B0AF8">
      <w:pPr>
        <w:pStyle w:val="Kop1"/>
        <w:rPr>
          <w:lang w:val="fr-BE"/>
        </w:rPr>
      </w:pPr>
      <w:r w:rsidRPr="00F33853">
        <w:rPr>
          <w:lang w:val="fr-BE"/>
        </w:rPr>
        <w:t>é</w:t>
      </w:r>
      <w:r>
        <w:rPr>
          <w:lang w:val="fr-BE"/>
        </w:rPr>
        <w:t xml:space="preserve">valuation du </w:t>
      </w:r>
      <w:r w:rsidR="006B0AF8" w:rsidRPr="00F33853">
        <w:rPr>
          <w:lang w:val="fr-BE"/>
        </w:rPr>
        <w:t>Suivi de</w:t>
      </w:r>
      <w:r>
        <w:rPr>
          <w:lang w:val="fr-BE"/>
        </w:rPr>
        <w:t>s</w:t>
      </w:r>
      <w:r w:rsidR="006B0AF8" w:rsidRPr="00F33853">
        <w:rPr>
          <w:lang w:val="fr-BE"/>
        </w:rPr>
        <w:t xml:space="preserve"> </w:t>
      </w:r>
      <w:r>
        <w:rPr>
          <w:lang w:val="fr-BE"/>
        </w:rPr>
        <w:t>a</w:t>
      </w:r>
      <w:r w:rsidR="006B0AF8" w:rsidRPr="00F33853">
        <w:rPr>
          <w:lang w:val="fr-BE"/>
        </w:rPr>
        <w:t>ction</w:t>
      </w:r>
      <w:r>
        <w:rPr>
          <w:lang w:val="fr-BE"/>
        </w:rPr>
        <w:t>s</w:t>
      </w:r>
      <w:r w:rsidR="006B0AF8" w:rsidRPr="00F33853">
        <w:rPr>
          <w:lang w:val="fr-BE"/>
        </w:rPr>
        <w:t xml:space="preserve"> corrective</w:t>
      </w:r>
      <w:r>
        <w:rPr>
          <w:lang w:val="fr-BE"/>
        </w:rPr>
        <w:t>s</w:t>
      </w:r>
      <w:r w:rsidR="006B0AF8" w:rsidRPr="00F33853">
        <w:rPr>
          <w:lang w:val="fr-BE"/>
        </w:rPr>
        <w:t xml:space="preserve"> de l'audit précédent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FB0696" w:rsidRPr="00EA68B9" w14:paraId="718BB782" w14:textId="77777777" w:rsidTr="00002BE9">
        <w:trPr>
          <w:trHeight w:val="397"/>
        </w:trPr>
        <w:tc>
          <w:tcPr>
            <w:tcW w:w="4507" w:type="dxa"/>
            <w:vAlign w:val="center"/>
          </w:tcPr>
          <w:p w14:paraId="53615769" w14:textId="77777777" w:rsidR="00FB0696" w:rsidRPr="00F33853" w:rsidRDefault="00FB0696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ID </w:t>
            </w:r>
            <w:r w:rsidR="00285276" w:rsidRPr="00F33853">
              <w:rPr>
                <w:lang w:val="fr-BE"/>
              </w:rPr>
              <w:t>c</w:t>
            </w:r>
            <w:r w:rsidR="00BF3164" w:rsidRPr="00F33853">
              <w:rPr>
                <w:lang w:val="fr-BE"/>
              </w:rPr>
              <w:t xml:space="preserve">ode </w:t>
            </w:r>
            <w:r w:rsidR="006101B8" w:rsidRPr="00F33853">
              <w:rPr>
                <w:lang w:val="fr-BE"/>
              </w:rPr>
              <w:t>de l’</w:t>
            </w:r>
            <w:r w:rsidRPr="00F33853">
              <w:rPr>
                <w:lang w:val="fr-BE"/>
              </w:rPr>
              <w:t>audit</w:t>
            </w:r>
            <w:r w:rsidR="006101B8" w:rsidRPr="00F33853">
              <w:rPr>
                <w:lang w:val="fr-BE"/>
              </w:rPr>
              <w:t xml:space="preserve"> précéd</w:t>
            </w:r>
            <w:r w:rsidR="00BF3164" w:rsidRPr="00F33853">
              <w:rPr>
                <w:lang w:val="fr-BE"/>
              </w:rPr>
              <w:t>e</w:t>
            </w:r>
            <w:r w:rsidR="006101B8" w:rsidRPr="00F33853">
              <w:rPr>
                <w:lang w:val="fr-BE"/>
              </w:rPr>
              <w:t>nt</w:t>
            </w:r>
          </w:p>
        </w:tc>
        <w:tc>
          <w:tcPr>
            <w:tcW w:w="4508" w:type="dxa"/>
            <w:vAlign w:val="center"/>
          </w:tcPr>
          <w:p w14:paraId="586338ED" w14:textId="77777777" w:rsidR="00FB0696" w:rsidRPr="00F33853" w:rsidRDefault="00FB0696" w:rsidP="00F33853">
            <w:pPr>
              <w:pStyle w:val="Tabelinhoud"/>
              <w:rPr>
                <w:lang w:val="fr-BE"/>
              </w:rPr>
            </w:pPr>
          </w:p>
        </w:tc>
      </w:tr>
    </w:tbl>
    <w:p w14:paraId="180BE725" w14:textId="3810ED32" w:rsidR="008B693E" w:rsidRPr="00F33853" w:rsidRDefault="00242D17" w:rsidP="008B693E">
      <w:pPr>
        <w:spacing w:after="0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 xml:space="preserve">Indiquer </w:t>
      </w:r>
      <w:r w:rsidR="008B693E" w:rsidRPr="00F33853">
        <w:rPr>
          <w:rStyle w:val="Subtielebenadrukking"/>
          <w:lang w:val="fr-BE"/>
        </w:rPr>
        <w:t xml:space="preserve">« + » lorsque tous les éléments </w:t>
      </w:r>
      <w:r w:rsidRPr="00F33853">
        <w:rPr>
          <w:rStyle w:val="Subtielebenadrukking"/>
          <w:lang w:val="fr-BE"/>
        </w:rPr>
        <w:t xml:space="preserve">de la non-conformité </w:t>
      </w:r>
      <w:r w:rsidR="008B693E" w:rsidRPr="00F33853">
        <w:rPr>
          <w:rStyle w:val="Subtielebenadrukking"/>
          <w:lang w:val="fr-BE"/>
        </w:rPr>
        <w:t xml:space="preserve">ont fait l’objet d’un suivi et sont résolus, et </w:t>
      </w:r>
      <w:r w:rsidRPr="00F33853">
        <w:rPr>
          <w:rStyle w:val="Subtielebenadrukking"/>
          <w:lang w:val="fr-BE"/>
        </w:rPr>
        <w:t>que celle-ci</w:t>
      </w:r>
      <w:r w:rsidR="008B693E" w:rsidRPr="00F33853">
        <w:rPr>
          <w:rStyle w:val="Subtielebenadrukking"/>
          <w:lang w:val="fr-BE"/>
        </w:rPr>
        <w:t xml:space="preserve"> peut être clôturée. </w:t>
      </w:r>
      <w:r w:rsidR="008B693E" w:rsidRPr="00F33853">
        <w:rPr>
          <w:rStyle w:val="Subtielebenadrukking"/>
          <w:lang w:val="fr-BE"/>
        </w:rPr>
        <w:tab/>
      </w:r>
      <w:r w:rsidR="008B693E" w:rsidRPr="00F33853">
        <w:rPr>
          <w:i/>
          <w:iCs/>
          <w:color w:val="595959" w:themeColor="text1" w:themeTint="A6"/>
          <w:lang w:val="fr-BE"/>
        </w:rPr>
        <w:br/>
      </w:r>
      <w:r w:rsidR="008B693E" w:rsidRPr="00F33853">
        <w:rPr>
          <w:rStyle w:val="Subtielebenadrukking"/>
          <w:lang w:val="fr-BE"/>
        </w:rPr>
        <w:t>Une nouvelle non-conformité XX-Ay ou XX-By (XX = initiales de l'auditeur, y = numéro de la non-conformité dans ce rapport partiel) est établie si</w:t>
      </w:r>
    </w:p>
    <w:p w14:paraId="1BAF4618" w14:textId="77777777" w:rsidR="008B693E" w:rsidRPr="00F33853" w:rsidRDefault="008B693E" w:rsidP="008B693E">
      <w:pPr>
        <w:pStyle w:val="Lijstalinea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 xml:space="preserve">certains éléments ne sont </w:t>
      </w:r>
      <w:r w:rsidR="00242D17" w:rsidRPr="00F33853">
        <w:rPr>
          <w:rStyle w:val="Subtielebenadrukking"/>
          <w:lang w:val="fr-BE"/>
        </w:rPr>
        <w:t xml:space="preserve">pas encore </w:t>
      </w:r>
      <w:r w:rsidRPr="00F33853">
        <w:rPr>
          <w:rStyle w:val="Subtielebenadrukking"/>
          <w:lang w:val="fr-BE"/>
        </w:rPr>
        <w:t>résolus</w:t>
      </w:r>
      <w:r w:rsidR="00242D17" w:rsidRPr="00F33853">
        <w:rPr>
          <w:rStyle w:val="Subtielebenadrukking"/>
          <w:lang w:val="fr-BE"/>
        </w:rPr>
        <w:t> </w:t>
      </w:r>
      <w:r w:rsidRPr="00F33853">
        <w:rPr>
          <w:rStyle w:val="Subtielebenadrukking"/>
          <w:lang w:val="fr-BE"/>
        </w:rPr>
        <w:t>; et/ou</w:t>
      </w:r>
    </w:p>
    <w:p w14:paraId="2E20BD6B" w14:textId="77777777" w:rsidR="008B693E" w:rsidRPr="00F33853" w:rsidRDefault="008B693E" w:rsidP="008B693E">
      <w:pPr>
        <w:pStyle w:val="Lijstalinea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 xml:space="preserve">certains éléments ne sont pas </w:t>
      </w:r>
      <w:r w:rsidR="006125D4" w:rsidRPr="00F33853">
        <w:rPr>
          <w:rStyle w:val="Subtielebenadrukking"/>
          <w:lang w:val="fr-BE"/>
        </w:rPr>
        <w:t>conformes</w:t>
      </w:r>
      <w:r w:rsidRPr="00F33853">
        <w:rPr>
          <w:rStyle w:val="Subtielebenadrukking"/>
          <w:lang w:val="fr-BE"/>
        </w:rPr>
        <w:t> ; et/ou</w:t>
      </w:r>
    </w:p>
    <w:p w14:paraId="390F7C47" w14:textId="77777777" w:rsidR="005B215F" w:rsidRPr="00F33853" w:rsidRDefault="008B693E" w:rsidP="008B693E">
      <w:pPr>
        <w:pStyle w:val="Lijstalinea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>la solution mise en œuvre a donné lieu à une nouvelle non-conformité.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5670"/>
        <w:gridCol w:w="1359"/>
      </w:tblGrid>
      <w:tr w:rsidR="008D1A73" w:rsidRPr="00F33853" w14:paraId="038E4A46" w14:textId="77777777" w:rsidTr="00C57B8A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16F" w14:textId="77777777" w:rsidR="008D1A73" w:rsidRPr="00F33853" w:rsidRDefault="006101B8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Non-conformité de l’audit précéd</w:t>
            </w:r>
            <w:r w:rsidR="00A14FDC" w:rsidRPr="00F33853">
              <w:rPr>
                <w:lang w:val="fr-BE"/>
              </w:rPr>
              <w:t>en</w:t>
            </w:r>
            <w:r w:rsidRPr="00F33853">
              <w:rPr>
                <w:lang w:val="fr-BE"/>
              </w:rPr>
              <w:t>t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74C" w14:textId="77777777" w:rsidR="008D1A73" w:rsidRPr="00F33853" w:rsidRDefault="00A14FD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  <w:r w:rsidR="00670AD3" w:rsidRPr="00F33853">
              <w:rPr>
                <w:lang w:val="fr-BE"/>
              </w:rPr>
              <w:t xml:space="preserve">du suivi et de l'efficacité de l’(des) action(s) corrective(s) prise(s)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9C63" w14:textId="77777777" w:rsidR="008D1A73" w:rsidRPr="00F33853" w:rsidRDefault="00A14FD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Évaluation</w:t>
            </w:r>
          </w:p>
        </w:tc>
      </w:tr>
      <w:tr w:rsidR="008D1A73" w:rsidRPr="00F33853" w14:paraId="703847AE" w14:textId="77777777" w:rsidTr="00C57B8A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DC6" w14:textId="77777777" w:rsidR="008D1A73" w:rsidRPr="00F33853" w:rsidRDefault="008D1A73" w:rsidP="00F33853">
            <w:pPr>
              <w:pStyle w:val="Tabelinhoud"/>
              <w:rPr>
                <w:lang w:val="fr-BE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33" w14:textId="77777777" w:rsidR="008D1A73" w:rsidRPr="00F33853" w:rsidRDefault="008D1A73" w:rsidP="00F33853">
            <w:pPr>
              <w:pStyle w:val="Tabelinhoud"/>
              <w:rPr>
                <w:lang w:val="fr-B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72C" w14:textId="77777777" w:rsidR="008D1A73" w:rsidRPr="00F33853" w:rsidRDefault="008D1A73" w:rsidP="00F33853">
            <w:pPr>
              <w:pStyle w:val="Tabelinhoud"/>
              <w:rPr>
                <w:lang w:val="fr-BE"/>
              </w:rPr>
            </w:pPr>
          </w:p>
        </w:tc>
      </w:tr>
      <w:tr w:rsidR="008D1A73" w:rsidRPr="00F33853" w14:paraId="5E90AD1E" w14:textId="77777777" w:rsidTr="00C57B8A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26D" w14:textId="77777777" w:rsidR="008D1A73" w:rsidRPr="00F33853" w:rsidRDefault="008D1A73" w:rsidP="00F33853">
            <w:pPr>
              <w:pStyle w:val="Tabelinhoud"/>
              <w:rPr>
                <w:lang w:val="fr-BE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EF2" w14:textId="77777777" w:rsidR="008D1A73" w:rsidRPr="00F33853" w:rsidRDefault="008D1A73" w:rsidP="00F33853">
            <w:pPr>
              <w:pStyle w:val="Tabelinhoud"/>
              <w:rPr>
                <w:lang w:val="fr-B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177" w14:textId="77777777" w:rsidR="008D1A73" w:rsidRPr="00F33853" w:rsidRDefault="008D1A73" w:rsidP="00F33853">
            <w:pPr>
              <w:pStyle w:val="Tabelinhoud"/>
              <w:rPr>
                <w:lang w:val="fr-BE"/>
              </w:rPr>
            </w:pPr>
          </w:p>
        </w:tc>
      </w:tr>
    </w:tbl>
    <w:p w14:paraId="6F4E3E66" w14:textId="77777777" w:rsidR="006101B8" w:rsidRPr="00F33853" w:rsidRDefault="006B0AF8" w:rsidP="006B0AF8">
      <w:pPr>
        <w:pStyle w:val="Kop1"/>
        <w:rPr>
          <w:rStyle w:val="Subtielebenadrukking"/>
          <w:i w:val="0"/>
          <w:iCs w:val="0"/>
          <w:color w:val="auto"/>
          <w:lang w:val="fr-BE"/>
        </w:rPr>
      </w:pPr>
      <w:r w:rsidRPr="00F33853">
        <w:rPr>
          <w:lang w:val="fr-BE"/>
        </w:rPr>
        <w:t>Rapport d’audit</w:t>
      </w:r>
      <w:r w:rsidRPr="00F33853">
        <w:rPr>
          <w:rStyle w:val="Subtielebenadrukking"/>
          <w:i w:val="0"/>
          <w:iCs w:val="0"/>
          <w:color w:val="auto"/>
          <w:lang w:val="fr-BE"/>
        </w:rPr>
        <w:t xml:space="preserve"> </w:t>
      </w:r>
    </w:p>
    <w:p w14:paraId="27BCBB7A" w14:textId="77777777" w:rsidR="00D257F8" w:rsidRPr="00F33853" w:rsidRDefault="00426E26" w:rsidP="00D12901">
      <w:pPr>
        <w:keepNext/>
        <w:keepLines/>
        <w:spacing w:after="0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 xml:space="preserve">Pour chaque élément de norme, indiquer </w:t>
      </w:r>
      <w:r w:rsidR="00A11D72" w:rsidRPr="00F33853">
        <w:rPr>
          <w:rStyle w:val="Subtielebenadrukking"/>
          <w:lang w:val="fr-BE"/>
        </w:rPr>
        <w:t>l’</w:t>
      </w:r>
      <w:r w:rsidRPr="00F33853">
        <w:rPr>
          <w:rStyle w:val="Subtielebenadrukking"/>
          <w:lang w:val="fr-BE"/>
        </w:rPr>
        <w:t xml:space="preserve">évaluation </w:t>
      </w:r>
      <w:r w:rsidR="00A11D72" w:rsidRPr="00F33853">
        <w:rPr>
          <w:rStyle w:val="Subtielebenadrukking"/>
          <w:lang w:val="fr-BE"/>
        </w:rPr>
        <w:t>qui a été réalisée</w:t>
      </w:r>
      <w:r w:rsidRPr="00F33853">
        <w:rPr>
          <w:rStyle w:val="Subtielebenadrukking"/>
          <w:lang w:val="fr-BE"/>
        </w:rPr>
        <w:t> </w:t>
      </w:r>
      <w:r w:rsidR="00D257F8" w:rsidRPr="00F33853">
        <w:rPr>
          <w:rStyle w:val="Subtielebenadrukking"/>
          <w:lang w:val="fr-BE"/>
        </w:rPr>
        <w:t xml:space="preserve">: </w:t>
      </w:r>
    </w:p>
    <w:p w14:paraId="0E710ADE" w14:textId="77777777" w:rsidR="00D257F8" w:rsidRPr="00F33853" w:rsidRDefault="00D257F8" w:rsidP="00476893">
      <w:pPr>
        <w:pStyle w:val="Lijstalinea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>+ (</w:t>
      </w:r>
      <w:r w:rsidR="005F3861" w:rsidRPr="00F33853">
        <w:rPr>
          <w:rStyle w:val="Subtielebenadrukking"/>
          <w:lang w:val="fr-BE"/>
        </w:rPr>
        <w:t xml:space="preserve">évalué et </w:t>
      </w:r>
      <w:r w:rsidR="006125D4" w:rsidRPr="00F33853">
        <w:rPr>
          <w:rStyle w:val="Subtielebenadrukking"/>
          <w:lang w:val="fr-BE"/>
        </w:rPr>
        <w:t>conforme</w:t>
      </w:r>
      <w:r w:rsidRPr="00F33853">
        <w:rPr>
          <w:rStyle w:val="Subtielebenadrukking"/>
          <w:lang w:val="fr-BE"/>
        </w:rPr>
        <w:t>)</w:t>
      </w:r>
      <w:r w:rsidR="005F3861" w:rsidRPr="00F33853">
        <w:rPr>
          <w:rStyle w:val="Subtielebenadrukking"/>
          <w:lang w:val="fr-BE"/>
        </w:rPr>
        <w:t> </w:t>
      </w:r>
      <w:r w:rsidR="00853892" w:rsidRPr="00F33853">
        <w:rPr>
          <w:rStyle w:val="Subtielebenadrukking"/>
          <w:lang w:val="fr-BE"/>
        </w:rPr>
        <w:t>;</w:t>
      </w:r>
      <w:r w:rsidRPr="00F33853">
        <w:rPr>
          <w:rStyle w:val="Subtielebenadrukking"/>
          <w:lang w:val="fr-BE"/>
        </w:rPr>
        <w:t xml:space="preserve"> </w:t>
      </w:r>
    </w:p>
    <w:p w14:paraId="21BAAE6F" w14:textId="77777777" w:rsidR="00D257F8" w:rsidRPr="00F33853" w:rsidRDefault="001A54EA" w:rsidP="00476893">
      <w:pPr>
        <w:pStyle w:val="Lijstalinea"/>
        <w:rPr>
          <w:rStyle w:val="Subtielebenadrukking"/>
          <w:lang w:val="fr-BE"/>
        </w:rPr>
      </w:pPr>
      <w:r w:rsidRPr="00F33853">
        <w:rPr>
          <w:rStyle w:val="Subtielebenadrukking"/>
          <w:lang w:val="fr-BE"/>
        </w:rPr>
        <w:t>XX-</w:t>
      </w:r>
      <w:r w:rsidR="00D257F8" w:rsidRPr="00F33853">
        <w:rPr>
          <w:rStyle w:val="Subtielebenadrukking"/>
          <w:lang w:val="fr-BE"/>
        </w:rPr>
        <w:t xml:space="preserve">Ay </w:t>
      </w:r>
      <w:r w:rsidR="000262E4" w:rsidRPr="00F33853">
        <w:rPr>
          <w:rStyle w:val="Subtielebenadrukking"/>
          <w:lang w:val="fr-BE"/>
        </w:rPr>
        <w:t>ou</w:t>
      </w:r>
      <w:r w:rsidR="00D257F8" w:rsidRPr="00F33853">
        <w:rPr>
          <w:rStyle w:val="Subtielebenadrukking"/>
          <w:lang w:val="fr-BE"/>
        </w:rPr>
        <w:t xml:space="preserve"> </w:t>
      </w:r>
      <w:r w:rsidRPr="00F33853">
        <w:rPr>
          <w:rStyle w:val="Subtielebenadrukking"/>
          <w:lang w:val="fr-BE"/>
        </w:rPr>
        <w:t>XX-</w:t>
      </w:r>
      <w:r w:rsidR="00D257F8" w:rsidRPr="00F33853">
        <w:rPr>
          <w:rStyle w:val="Subtielebenadrukking"/>
          <w:lang w:val="fr-BE"/>
        </w:rPr>
        <w:t>By (</w:t>
      </w:r>
      <w:r w:rsidR="000262E4" w:rsidRPr="00F33853">
        <w:rPr>
          <w:rStyle w:val="Subtielebenadrukking"/>
          <w:lang w:val="fr-BE"/>
        </w:rPr>
        <w:t>évalué</w:t>
      </w:r>
      <w:r w:rsidR="00D257F8" w:rsidRPr="00F33853">
        <w:rPr>
          <w:rStyle w:val="Subtielebenadrukking"/>
          <w:lang w:val="fr-BE"/>
        </w:rPr>
        <w:t xml:space="preserve">, </w:t>
      </w:r>
      <w:r w:rsidR="005F3861" w:rsidRPr="00F33853">
        <w:rPr>
          <w:rStyle w:val="Subtielebenadrukking"/>
          <w:lang w:val="fr-BE"/>
        </w:rPr>
        <w:t xml:space="preserve">mais </w:t>
      </w:r>
      <w:r w:rsidR="006125D4" w:rsidRPr="00F33853">
        <w:rPr>
          <w:rStyle w:val="Subtielebenadrukking"/>
          <w:lang w:val="fr-BE"/>
        </w:rPr>
        <w:t>non conforme</w:t>
      </w:r>
      <w:r w:rsidR="005F3861" w:rsidRPr="00F33853">
        <w:rPr>
          <w:rStyle w:val="Subtielebenadrukking"/>
          <w:lang w:val="fr-BE"/>
        </w:rPr>
        <w:t> </w:t>
      </w:r>
      <w:r w:rsidRPr="00F33853">
        <w:rPr>
          <w:rStyle w:val="Subtielebenadrukking"/>
          <w:lang w:val="fr-BE"/>
        </w:rPr>
        <w:t>: XX</w:t>
      </w:r>
      <w:r w:rsidR="00426E26" w:rsidRPr="00F33853">
        <w:rPr>
          <w:rStyle w:val="Subtielebenadrukking"/>
          <w:lang w:val="fr-BE"/>
        </w:rPr>
        <w:t xml:space="preserve"> </w:t>
      </w:r>
      <w:r w:rsidRPr="00F33853">
        <w:rPr>
          <w:rStyle w:val="Subtielebenadrukking"/>
          <w:lang w:val="fr-BE"/>
        </w:rPr>
        <w:t>=</w:t>
      </w:r>
      <w:r w:rsidR="00426E26" w:rsidRPr="00F33853">
        <w:rPr>
          <w:rStyle w:val="Subtielebenadrukking"/>
          <w:lang w:val="fr-BE"/>
        </w:rPr>
        <w:t xml:space="preserve"> </w:t>
      </w:r>
      <w:r w:rsidRPr="00F33853">
        <w:rPr>
          <w:rStyle w:val="Subtielebenadrukking"/>
          <w:lang w:val="fr-BE"/>
        </w:rPr>
        <w:t>initiale</w:t>
      </w:r>
      <w:r w:rsidR="005F3861" w:rsidRPr="00F33853">
        <w:rPr>
          <w:rStyle w:val="Subtielebenadrukking"/>
          <w:lang w:val="fr-BE"/>
        </w:rPr>
        <w:t>s</w:t>
      </w:r>
      <w:r w:rsidRPr="00F33853">
        <w:rPr>
          <w:rStyle w:val="Subtielebenadrukking"/>
          <w:lang w:val="fr-BE"/>
        </w:rPr>
        <w:t xml:space="preserve"> </w:t>
      </w:r>
      <w:r w:rsidR="00426E26" w:rsidRPr="00F33853">
        <w:rPr>
          <w:rStyle w:val="Subtielebenadrukking"/>
          <w:lang w:val="fr-BE"/>
        </w:rPr>
        <w:t>de l’</w:t>
      </w:r>
      <w:r w:rsidRPr="00F33853">
        <w:rPr>
          <w:rStyle w:val="Subtielebenadrukking"/>
          <w:lang w:val="fr-BE"/>
        </w:rPr>
        <w:t>audit</w:t>
      </w:r>
      <w:r w:rsidR="005F3861" w:rsidRPr="00F33853">
        <w:rPr>
          <w:rStyle w:val="Subtielebenadrukking"/>
          <w:lang w:val="fr-BE"/>
        </w:rPr>
        <w:t>eu</w:t>
      </w:r>
      <w:r w:rsidRPr="00F33853">
        <w:rPr>
          <w:rStyle w:val="Subtielebenadrukking"/>
          <w:lang w:val="fr-BE"/>
        </w:rPr>
        <w:t>r</w:t>
      </w:r>
      <w:r w:rsidR="00D257F8" w:rsidRPr="00F33853">
        <w:rPr>
          <w:rStyle w:val="Subtielebenadrukking"/>
          <w:lang w:val="fr-BE"/>
        </w:rPr>
        <w:t>, y</w:t>
      </w:r>
      <w:r w:rsidR="00426E26" w:rsidRPr="00F33853">
        <w:rPr>
          <w:rStyle w:val="Subtielebenadrukking"/>
          <w:lang w:val="fr-BE"/>
        </w:rPr>
        <w:t> </w:t>
      </w:r>
      <w:r w:rsidR="00D257F8" w:rsidRPr="00F33853">
        <w:rPr>
          <w:rStyle w:val="Subtielebenadrukking"/>
          <w:lang w:val="fr-BE"/>
        </w:rPr>
        <w:t>=</w:t>
      </w:r>
      <w:r w:rsidR="00426E26" w:rsidRPr="00F33853">
        <w:rPr>
          <w:rStyle w:val="Subtielebenadrukking"/>
          <w:lang w:val="fr-BE"/>
        </w:rPr>
        <w:t> </w:t>
      </w:r>
      <w:r w:rsidR="005F3861" w:rsidRPr="00F33853">
        <w:rPr>
          <w:rStyle w:val="Subtielebenadrukking"/>
          <w:lang w:val="fr-BE"/>
        </w:rPr>
        <w:t>numéro de la non-conformité d</w:t>
      </w:r>
      <w:r w:rsidR="00426E26" w:rsidRPr="00F33853">
        <w:rPr>
          <w:rStyle w:val="Subtielebenadrukking"/>
          <w:lang w:val="fr-BE"/>
        </w:rPr>
        <w:t>ans</w:t>
      </w:r>
      <w:r w:rsidR="005F3861" w:rsidRPr="00F33853">
        <w:rPr>
          <w:rStyle w:val="Subtielebenadrukking"/>
          <w:lang w:val="fr-BE"/>
        </w:rPr>
        <w:t xml:space="preserve"> ce rapport</w:t>
      </w:r>
      <w:r w:rsidR="00242D17" w:rsidRPr="00F33853">
        <w:rPr>
          <w:rStyle w:val="Subtielebenadrukking"/>
          <w:color w:val="FF0000"/>
          <w:lang w:val="fr-BE"/>
        </w:rPr>
        <w:t xml:space="preserve"> </w:t>
      </w:r>
      <w:r w:rsidR="00242D17" w:rsidRPr="00F33853">
        <w:rPr>
          <w:rStyle w:val="Subtielebenadrukking"/>
          <w:color w:val="auto"/>
          <w:lang w:val="fr-BE"/>
        </w:rPr>
        <w:t>partiel</w:t>
      </w:r>
      <w:r w:rsidR="00D257F8" w:rsidRPr="00F33853">
        <w:rPr>
          <w:rStyle w:val="Subtielebenadrukking"/>
          <w:lang w:val="fr-BE"/>
        </w:rPr>
        <w:t>)</w:t>
      </w:r>
      <w:r w:rsidR="00426E26" w:rsidRPr="00F33853">
        <w:rPr>
          <w:rStyle w:val="Subtielebenadrukking"/>
          <w:lang w:val="fr-BE"/>
        </w:rPr>
        <w:t> </w:t>
      </w:r>
      <w:r w:rsidR="00853892" w:rsidRPr="00F33853">
        <w:rPr>
          <w:rStyle w:val="Subtielebenadrukking"/>
          <w:lang w:val="fr-BE"/>
        </w:rPr>
        <w:t xml:space="preserve">; </w:t>
      </w:r>
    </w:p>
    <w:p w14:paraId="11C28C41" w14:textId="77777777" w:rsidR="00D257F8" w:rsidRPr="00F33853" w:rsidRDefault="000262E4" w:rsidP="00476893">
      <w:pPr>
        <w:pStyle w:val="Lijstalinea"/>
        <w:rPr>
          <w:rStyle w:val="Subtielebenadrukking"/>
          <w:lang w:val="fr-BE"/>
        </w:rPr>
      </w:pPr>
      <w:proofErr w:type="spellStart"/>
      <w:r w:rsidRPr="00F33853">
        <w:rPr>
          <w:rStyle w:val="Subtielebenadrukking"/>
          <w:lang w:val="fr-BE"/>
        </w:rPr>
        <w:t>n.e</w:t>
      </w:r>
      <w:proofErr w:type="spellEnd"/>
      <w:r w:rsidRPr="00F33853">
        <w:rPr>
          <w:rStyle w:val="Subtielebenadrukking"/>
          <w:lang w:val="fr-BE"/>
        </w:rPr>
        <w:t>.</w:t>
      </w:r>
      <w:r w:rsidR="00D257F8" w:rsidRPr="00F33853">
        <w:rPr>
          <w:rStyle w:val="Subtielebenadrukking"/>
          <w:lang w:val="fr-BE"/>
        </w:rPr>
        <w:t xml:space="preserve"> (</w:t>
      </w:r>
      <w:r w:rsidRPr="00F33853">
        <w:rPr>
          <w:rStyle w:val="Subtielebenadrukking"/>
          <w:lang w:val="fr-BE"/>
        </w:rPr>
        <w:t>non évalué</w:t>
      </w:r>
      <w:r w:rsidR="00D257F8" w:rsidRPr="00F33853">
        <w:rPr>
          <w:rStyle w:val="Subtielebenadrukking"/>
          <w:lang w:val="fr-BE"/>
        </w:rPr>
        <w:t>)</w:t>
      </w:r>
      <w:r w:rsidRPr="00F33853">
        <w:rPr>
          <w:rStyle w:val="Subtielebenadrukking"/>
          <w:lang w:val="fr-BE"/>
        </w:rPr>
        <w:t> </w:t>
      </w:r>
      <w:r w:rsidR="00853892" w:rsidRPr="00F33853">
        <w:rPr>
          <w:rStyle w:val="Subtielebenadrukking"/>
          <w:lang w:val="fr-BE"/>
        </w:rPr>
        <w:t>;</w:t>
      </w:r>
    </w:p>
    <w:p w14:paraId="6F8B485E" w14:textId="77777777" w:rsidR="00D257F8" w:rsidRPr="00F33853" w:rsidRDefault="000262E4" w:rsidP="00476893">
      <w:pPr>
        <w:pStyle w:val="Lijstalinea"/>
        <w:rPr>
          <w:rStyle w:val="Subtielebenadrukking"/>
          <w:lang w:val="fr-BE"/>
        </w:rPr>
      </w:pPr>
      <w:proofErr w:type="spellStart"/>
      <w:r w:rsidRPr="00F33853">
        <w:rPr>
          <w:rStyle w:val="Subtielebenadrukking"/>
          <w:lang w:val="fr-BE"/>
        </w:rPr>
        <w:t>n.a</w:t>
      </w:r>
      <w:proofErr w:type="spellEnd"/>
      <w:r w:rsidRPr="00F33853">
        <w:rPr>
          <w:rStyle w:val="Subtielebenadrukking"/>
          <w:lang w:val="fr-BE"/>
        </w:rPr>
        <w:t>.</w:t>
      </w:r>
      <w:r w:rsidR="00D257F8" w:rsidRPr="00F33853">
        <w:rPr>
          <w:rStyle w:val="Subtielebenadrukking"/>
          <w:lang w:val="fr-BE"/>
        </w:rPr>
        <w:t xml:space="preserve"> (</w:t>
      </w:r>
      <w:r w:rsidRPr="00F33853">
        <w:rPr>
          <w:rStyle w:val="Subtielebenadrukking"/>
          <w:lang w:val="fr-BE"/>
        </w:rPr>
        <w:t>non applicable</w:t>
      </w:r>
      <w:r w:rsidR="00D257F8" w:rsidRPr="00F33853">
        <w:rPr>
          <w:rStyle w:val="Subtielebenadrukking"/>
          <w:lang w:val="fr-BE"/>
        </w:rPr>
        <w:t>).</w:t>
      </w:r>
    </w:p>
    <w:p w14:paraId="500D4869" w14:textId="77777777" w:rsidR="0000259C" w:rsidRPr="00F33853" w:rsidRDefault="0000259C" w:rsidP="0000259C">
      <w:pPr>
        <w:pStyle w:val="Kop3"/>
        <w:rPr>
          <w:lang w:val="fr-BE"/>
        </w:rPr>
      </w:pPr>
      <w:r w:rsidRPr="00F33853">
        <w:rPr>
          <w:lang w:val="fr-BE"/>
        </w:rPr>
        <w:t xml:space="preserve">Exigences de la norme </w:t>
      </w:r>
    </w:p>
    <w:p w14:paraId="6B235473" w14:textId="673604ED" w:rsidR="0000259C" w:rsidRPr="00F33853" w:rsidRDefault="0000259C" w:rsidP="0000259C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4.1: Responsabilité en matière d’organisation et de management</w:t>
      </w:r>
    </w:p>
    <w:p w14:paraId="7E21DC24" w14:textId="761F032A" w:rsidR="00C92B81" w:rsidRPr="00F33853" w:rsidRDefault="00C92B81" w:rsidP="00604F0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4: Exigences générales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5: Exigences structurelle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8.2: Documentation du système de management (Option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0"/>
        <w:gridCol w:w="5256"/>
        <w:gridCol w:w="1085"/>
      </w:tblGrid>
      <w:tr w:rsidR="00DD2CED" w:rsidRPr="00F33853" w14:paraId="206BF322" w14:textId="77777777" w:rsidTr="00C92B81">
        <w:tc>
          <w:tcPr>
            <w:tcW w:w="2675" w:type="dxa"/>
            <w:gridSpan w:val="2"/>
          </w:tcPr>
          <w:p w14:paraId="38A4B9D6" w14:textId="05AE5510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6" w:type="dxa"/>
            <w:vMerge w:val="restart"/>
            <w:vAlign w:val="center"/>
          </w:tcPr>
          <w:p w14:paraId="227A2741" w14:textId="0081B4BD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43409A4A" w14:textId="1649D9D3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Évaluation</w:t>
            </w:r>
          </w:p>
        </w:tc>
      </w:tr>
      <w:tr w:rsidR="0000259C" w:rsidRPr="00F33853" w14:paraId="1DF5F2C9" w14:textId="77777777" w:rsidTr="00C92B81">
        <w:tc>
          <w:tcPr>
            <w:tcW w:w="1125" w:type="dxa"/>
          </w:tcPr>
          <w:p w14:paraId="685B288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0" w:type="dxa"/>
            <w:vAlign w:val="center"/>
          </w:tcPr>
          <w:p w14:paraId="0C2FBB3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6" w:type="dxa"/>
            <w:vMerge/>
          </w:tcPr>
          <w:p w14:paraId="1E2CCD9F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37D9148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EA68B9" w14:paraId="01A9CBBF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7F6FDE22" w14:textId="1C7DA017" w:rsidR="0000259C" w:rsidRPr="00294B21" w:rsidRDefault="0000259C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>Responsabilité en matière d’organisation et de management</w:t>
            </w:r>
          </w:p>
        </w:tc>
      </w:tr>
      <w:tr w:rsidR="0000259C" w:rsidRPr="00F33853" w14:paraId="56F9C6A3" w14:textId="77777777" w:rsidTr="00C92B81">
        <w:tc>
          <w:tcPr>
            <w:tcW w:w="1125" w:type="dxa"/>
            <w:vAlign w:val="center"/>
          </w:tcPr>
          <w:p w14:paraId="69FA0892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4.1.1.1</w:t>
            </w:r>
          </w:p>
        </w:tc>
        <w:tc>
          <w:tcPr>
            <w:tcW w:w="1550" w:type="dxa"/>
            <w:vAlign w:val="center"/>
          </w:tcPr>
          <w:p w14:paraId="3827ACF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5.4</w:t>
            </w:r>
          </w:p>
        </w:tc>
        <w:tc>
          <w:tcPr>
            <w:tcW w:w="5256" w:type="dxa"/>
          </w:tcPr>
          <w:p w14:paraId="65247D6A" w14:textId="073112C8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Organisation : généralités</w:t>
            </w:r>
          </w:p>
        </w:tc>
        <w:tc>
          <w:tcPr>
            <w:tcW w:w="1085" w:type="dxa"/>
          </w:tcPr>
          <w:p w14:paraId="43EC2FFD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44FD73D1" w14:textId="77777777" w:rsidTr="00C92B81">
        <w:tc>
          <w:tcPr>
            <w:tcW w:w="1125" w:type="dxa"/>
            <w:vAlign w:val="center"/>
          </w:tcPr>
          <w:p w14:paraId="4746513A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4.1.1.2</w:t>
            </w:r>
          </w:p>
        </w:tc>
        <w:tc>
          <w:tcPr>
            <w:tcW w:w="1550" w:type="dxa"/>
            <w:vAlign w:val="center"/>
          </w:tcPr>
          <w:p w14:paraId="6FA6FB21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5.1</w:t>
            </w:r>
          </w:p>
        </w:tc>
        <w:tc>
          <w:tcPr>
            <w:tcW w:w="5256" w:type="dxa"/>
          </w:tcPr>
          <w:p w14:paraId="73FD11C1" w14:textId="1BEBB389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Entité légale</w:t>
            </w:r>
          </w:p>
        </w:tc>
        <w:tc>
          <w:tcPr>
            <w:tcW w:w="1085" w:type="dxa"/>
          </w:tcPr>
          <w:p w14:paraId="4E9F0130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494FE267" w14:textId="77777777" w:rsidTr="00C92B81">
        <w:tc>
          <w:tcPr>
            <w:tcW w:w="1125" w:type="dxa"/>
            <w:vAlign w:val="center"/>
          </w:tcPr>
          <w:p w14:paraId="4A50E98C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4.1.1.3</w:t>
            </w:r>
          </w:p>
        </w:tc>
        <w:tc>
          <w:tcPr>
            <w:tcW w:w="1550" w:type="dxa"/>
            <w:vAlign w:val="center"/>
          </w:tcPr>
          <w:p w14:paraId="1D1C8AC9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4.1.1, 4.1.2, 4.1.3, 4.2.4</w:t>
            </w:r>
          </w:p>
        </w:tc>
        <w:tc>
          <w:tcPr>
            <w:tcW w:w="5256" w:type="dxa"/>
          </w:tcPr>
          <w:p w14:paraId="6B04FC36" w14:textId="644903B8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Conduite éthique</w:t>
            </w:r>
          </w:p>
        </w:tc>
        <w:tc>
          <w:tcPr>
            <w:tcW w:w="1085" w:type="dxa"/>
          </w:tcPr>
          <w:p w14:paraId="394C907D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3B0042CF" w14:textId="77777777" w:rsidTr="00C92B81">
        <w:tc>
          <w:tcPr>
            <w:tcW w:w="1125" w:type="dxa"/>
            <w:vAlign w:val="center"/>
          </w:tcPr>
          <w:p w14:paraId="18AD5ED7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4.1.1.4</w:t>
            </w:r>
          </w:p>
        </w:tc>
        <w:tc>
          <w:tcPr>
            <w:tcW w:w="1550" w:type="dxa"/>
            <w:vAlign w:val="center"/>
          </w:tcPr>
          <w:p w14:paraId="4E1C1447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5.2, 5.6, 5.7</w:t>
            </w:r>
          </w:p>
        </w:tc>
        <w:tc>
          <w:tcPr>
            <w:tcW w:w="5256" w:type="dxa"/>
          </w:tcPr>
          <w:p w14:paraId="2642CE26" w14:textId="5B79B5F5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Directeur de laboratoire</w:t>
            </w:r>
          </w:p>
        </w:tc>
        <w:tc>
          <w:tcPr>
            <w:tcW w:w="1085" w:type="dxa"/>
          </w:tcPr>
          <w:p w14:paraId="6BEB3FEC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5164DBDA" w14:textId="77777777" w:rsidTr="00C92B81">
        <w:tc>
          <w:tcPr>
            <w:tcW w:w="1125" w:type="dxa"/>
            <w:vAlign w:val="center"/>
          </w:tcPr>
          <w:p w14:paraId="140FE5A1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lastRenderedPageBreak/>
              <w:t>4.1.2.1</w:t>
            </w:r>
          </w:p>
        </w:tc>
        <w:tc>
          <w:tcPr>
            <w:tcW w:w="1550" w:type="dxa"/>
            <w:vAlign w:val="center"/>
          </w:tcPr>
          <w:p w14:paraId="40E91094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5.7, 8.2.3</w:t>
            </w:r>
          </w:p>
        </w:tc>
        <w:tc>
          <w:tcPr>
            <w:tcW w:w="5256" w:type="dxa"/>
          </w:tcPr>
          <w:p w14:paraId="482DD55B" w14:textId="143F4949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Engagement de la direction</w:t>
            </w:r>
          </w:p>
        </w:tc>
        <w:tc>
          <w:tcPr>
            <w:tcW w:w="1085" w:type="dxa"/>
          </w:tcPr>
          <w:p w14:paraId="215EEADD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3FE579E4" w14:textId="77777777" w:rsidTr="00C92B81">
        <w:tc>
          <w:tcPr>
            <w:tcW w:w="1125" w:type="dxa"/>
            <w:vAlign w:val="center"/>
          </w:tcPr>
          <w:p w14:paraId="2553238C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4.1.2.2</w:t>
            </w:r>
          </w:p>
        </w:tc>
        <w:tc>
          <w:tcPr>
            <w:tcW w:w="1550" w:type="dxa"/>
            <w:vAlign w:val="center"/>
          </w:tcPr>
          <w:p w14:paraId="0187742D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5.4, 5.7a</w:t>
            </w:r>
          </w:p>
        </w:tc>
        <w:tc>
          <w:tcPr>
            <w:tcW w:w="5256" w:type="dxa"/>
          </w:tcPr>
          <w:p w14:paraId="44808C4F" w14:textId="0A0F3622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Besoins des utilisateurs</w:t>
            </w:r>
          </w:p>
        </w:tc>
        <w:tc>
          <w:tcPr>
            <w:tcW w:w="1085" w:type="dxa"/>
          </w:tcPr>
          <w:p w14:paraId="129381C1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638FC82A" w14:textId="77777777" w:rsidTr="00C92B81">
        <w:tc>
          <w:tcPr>
            <w:tcW w:w="1125" w:type="dxa"/>
            <w:vAlign w:val="center"/>
          </w:tcPr>
          <w:p w14:paraId="6182032E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4.1.2.3</w:t>
            </w:r>
          </w:p>
        </w:tc>
        <w:tc>
          <w:tcPr>
            <w:tcW w:w="1550" w:type="dxa"/>
            <w:vAlign w:val="center"/>
          </w:tcPr>
          <w:p w14:paraId="53C0F65E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8.2.1</w:t>
            </w:r>
          </w:p>
        </w:tc>
        <w:tc>
          <w:tcPr>
            <w:tcW w:w="5256" w:type="dxa"/>
          </w:tcPr>
          <w:p w14:paraId="2CB85B40" w14:textId="7E8F2774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Politique qualité</w:t>
            </w:r>
          </w:p>
        </w:tc>
        <w:tc>
          <w:tcPr>
            <w:tcW w:w="1085" w:type="dxa"/>
          </w:tcPr>
          <w:p w14:paraId="37917DB1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4E7635B3" w14:textId="77777777" w:rsidTr="00C92B81">
        <w:tc>
          <w:tcPr>
            <w:tcW w:w="1125" w:type="dxa"/>
            <w:vAlign w:val="center"/>
          </w:tcPr>
          <w:p w14:paraId="1DFEDD6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4.1.2.4</w:t>
            </w:r>
          </w:p>
        </w:tc>
        <w:tc>
          <w:tcPr>
            <w:tcW w:w="1550" w:type="dxa"/>
            <w:vAlign w:val="center"/>
          </w:tcPr>
          <w:p w14:paraId="5581AD8F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5.7b, 8.2.1</w:t>
            </w:r>
          </w:p>
        </w:tc>
        <w:tc>
          <w:tcPr>
            <w:tcW w:w="5256" w:type="dxa"/>
          </w:tcPr>
          <w:p w14:paraId="6AEC36AA" w14:textId="1D846A71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Objectifs et planification</w:t>
            </w:r>
          </w:p>
        </w:tc>
        <w:tc>
          <w:tcPr>
            <w:tcW w:w="1085" w:type="dxa"/>
          </w:tcPr>
          <w:p w14:paraId="02FA114C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5F9F25BC" w14:textId="77777777" w:rsidTr="00C92B81">
        <w:tc>
          <w:tcPr>
            <w:tcW w:w="1125" w:type="dxa"/>
            <w:vAlign w:val="center"/>
          </w:tcPr>
          <w:p w14:paraId="27F6EA80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4.1.2.5</w:t>
            </w:r>
          </w:p>
        </w:tc>
        <w:tc>
          <w:tcPr>
            <w:tcW w:w="1550" w:type="dxa"/>
            <w:vAlign w:val="center"/>
          </w:tcPr>
          <w:p w14:paraId="468EEC25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5.5a-b</w:t>
            </w:r>
          </w:p>
        </w:tc>
        <w:tc>
          <w:tcPr>
            <w:tcW w:w="5256" w:type="dxa"/>
          </w:tcPr>
          <w:p w14:paraId="74061165" w14:textId="622CA990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Responsabilité, autorité et interrelations</w:t>
            </w:r>
          </w:p>
        </w:tc>
        <w:tc>
          <w:tcPr>
            <w:tcW w:w="1085" w:type="dxa"/>
          </w:tcPr>
          <w:p w14:paraId="27D6343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44CDDC51" w14:textId="77777777" w:rsidTr="00C92B81">
        <w:tc>
          <w:tcPr>
            <w:tcW w:w="1125" w:type="dxa"/>
            <w:vAlign w:val="center"/>
          </w:tcPr>
          <w:p w14:paraId="777776C2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4.1.2.6</w:t>
            </w:r>
          </w:p>
        </w:tc>
        <w:tc>
          <w:tcPr>
            <w:tcW w:w="1550" w:type="dxa"/>
            <w:vAlign w:val="center"/>
          </w:tcPr>
          <w:p w14:paraId="3D13EC09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5.7a</w:t>
            </w:r>
          </w:p>
        </w:tc>
        <w:tc>
          <w:tcPr>
            <w:tcW w:w="5256" w:type="dxa"/>
          </w:tcPr>
          <w:p w14:paraId="4052DCFA" w14:textId="3C1F5E6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Communication</w:t>
            </w:r>
          </w:p>
        </w:tc>
        <w:tc>
          <w:tcPr>
            <w:tcW w:w="1085" w:type="dxa"/>
          </w:tcPr>
          <w:p w14:paraId="45F4362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4DB5F750" w14:textId="77777777" w:rsidTr="00C92B81">
        <w:tc>
          <w:tcPr>
            <w:tcW w:w="1125" w:type="dxa"/>
            <w:vAlign w:val="center"/>
          </w:tcPr>
          <w:p w14:paraId="2889F61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4.1.2.7</w:t>
            </w:r>
          </w:p>
        </w:tc>
        <w:tc>
          <w:tcPr>
            <w:tcW w:w="1550" w:type="dxa"/>
            <w:vAlign w:val="center"/>
          </w:tcPr>
          <w:p w14:paraId="4FB23142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5.6</w:t>
            </w:r>
          </w:p>
        </w:tc>
        <w:tc>
          <w:tcPr>
            <w:tcW w:w="5256" w:type="dxa"/>
          </w:tcPr>
          <w:p w14:paraId="0218A292" w14:textId="26C40271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Responsable qualité</w:t>
            </w:r>
          </w:p>
        </w:tc>
        <w:tc>
          <w:tcPr>
            <w:tcW w:w="1085" w:type="dxa"/>
          </w:tcPr>
          <w:p w14:paraId="06217C9B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F33853" w14:paraId="0D84BD76" w14:textId="77777777" w:rsidTr="00C92B81">
        <w:tc>
          <w:tcPr>
            <w:tcW w:w="1125" w:type="dxa"/>
            <w:vAlign w:val="center"/>
          </w:tcPr>
          <w:p w14:paraId="58DDA0F4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1550" w:type="dxa"/>
            <w:vAlign w:val="center"/>
          </w:tcPr>
          <w:p w14:paraId="49748695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4.1.4, 4.1.5</w:t>
            </w:r>
          </w:p>
        </w:tc>
        <w:tc>
          <w:tcPr>
            <w:tcW w:w="5256" w:type="dxa"/>
          </w:tcPr>
          <w:p w14:paraId="165BE915" w14:textId="30199B6A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rStyle w:val="shorttext"/>
                <w:rFonts w:cs="Arial"/>
                <w:color w:val="222222"/>
                <w:szCs w:val="18"/>
                <w:lang w:val="fr-BE"/>
              </w:rPr>
              <w:t>Risques d'impartialité</w:t>
            </w:r>
          </w:p>
        </w:tc>
        <w:tc>
          <w:tcPr>
            <w:tcW w:w="1085" w:type="dxa"/>
          </w:tcPr>
          <w:p w14:paraId="5F099422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0C11F64C" w14:textId="77777777" w:rsidTr="00604F01">
        <w:tc>
          <w:tcPr>
            <w:tcW w:w="1125" w:type="dxa"/>
            <w:vAlign w:val="center"/>
          </w:tcPr>
          <w:p w14:paraId="38651AEE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1550" w:type="dxa"/>
            <w:vAlign w:val="center"/>
          </w:tcPr>
          <w:p w14:paraId="19C6E5BE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4.2.1, 4.2.2, 4.2.3</w:t>
            </w:r>
          </w:p>
        </w:tc>
        <w:tc>
          <w:tcPr>
            <w:tcW w:w="5256" w:type="dxa"/>
            <w:vAlign w:val="center"/>
          </w:tcPr>
          <w:p w14:paraId="7E687639" w14:textId="616C0533" w:rsidR="00C92B81" w:rsidRPr="00F33853" w:rsidRDefault="00C92B81" w:rsidP="00F33853">
            <w:pPr>
              <w:pStyle w:val="Tabelinhoud"/>
              <w:rPr>
                <w:rFonts w:cs="Arial"/>
                <w:lang w:val="fr-BE" w:eastAsia="nl-NL"/>
              </w:rPr>
            </w:pPr>
            <w:r w:rsidRPr="00F33853">
              <w:rPr>
                <w:rStyle w:val="shorttext"/>
                <w:color w:val="222222"/>
                <w:szCs w:val="18"/>
                <w:lang w:val="fr-BE"/>
              </w:rPr>
              <w:t>Confidentialité: gestion des informations du client</w:t>
            </w:r>
          </w:p>
        </w:tc>
        <w:tc>
          <w:tcPr>
            <w:tcW w:w="1085" w:type="dxa"/>
          </w:tcPr>
          <w:p w14:paraId="088C5E7F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65D1CB35" w14:textId="77777777" w:rsidTr="00C92B81">
        <w:tc>
          <w:tcPr>
            <w:tcW w:w="1125" w:type="dxa"/>
            <w:vAlign w:val="center"/>
          </w:tcPr>
          <w:p w14:paraId="28227204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1550" w:type="dxa"/>
            <w:vAlign w:val="center"/>
          </w:tcPr>
          <w:p w14:paraId="4C7CC3F7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5.3</w:t>
            </w:r>
          </w:p>
        </w:tc>
        <w:tc>
          <w:tcPr>
            <w:tcW w:w="5256" w:type="dxa"/>
          </w:tcPr>
          <w:p w14:paraId="0810719D" w14:textId="77777777" w:rsidR="00C92B81" w:rsidRPr="00F33853" w:rsidRDefault="00C92B81" w:rsidP="00C92B81">
            <w:pPr>
              <w:spacing w:before="0" w:after="0"/>
              <w:rPr>
                <w:rStyle w:val="shorttext"/>
                <w:rFonts w:cs="Arial"/>
                <w:color w:val="222222"/>
                <w:sz w:val="18"/>
                <w:szCs w:val="18"/>
                <w:lang w:val="fr-BE"/>
              </w:rPr>
            </w:pPr>
            <w:r w:rsidRPr="00F33853">
              <w:rPr>
                <w:rStyle w:val="shorttext"/>
                <w:rFonts w:cs="Arial"/>
                <w:color w:val="222222"/>
                <w:sz w:val="18"/>
                <w:szCs w:val="18"/>
                <w:lang w:val="fr-BE"/>
              </w:rPr>
              <w:t>Définir le champ des activités de laboratoire.</w:t>
            </w:r>
          </w:p>
          <w:p w14:paraId="79E33FB7" w14:textId="77777777" w:rsidR="00C92B81" w:rsidRPr="00F33853" w:rsidRDefault="00C92B81" w:rsidP="00C92B81">
            <w:pPr>
              <w:spacing w:before="0" w:after="0"/>
              <w:rPr>
                <w:rFonts w:cs="Arial"/>
                <w:sz w:val="18"/>
                <w:szCs w:val="18"/>
                <w:lang w:val="fr-BE" w:eastAsia="nl-NL"/>
              </w:rPr>
            </w:pPr>
            <w:r w:rsidRPr="00F33853">
              <w:rPr>
                <w:rStyle w:val="shorttext"/>
                <w:rFonts w:cs="Arial"/>
                <w:color w:val="222222"/>
                <w:sz w:val="18"/>
                <w:szCs w:val="18"/>
                <w:lang w:val="fr-BE"/>
              </w:rPr>
              <w:t xml:space="preserve">Les </w:t>
            </w:r>
            <w:r w:rsidRPr="00F33853">
              <w:rPr>
                <w:rFonts w:cs="Arial"/>
                <w:sz w:val="18"/>
                <w:szCs w:val="18"/>
                <w:lang w:val="fr-BE" w:eastAsia="nl-NL"/>
              </w:rPr>
              <w:t>activités de laboratoire assurées de façon</w:t>
            </w:r>
          </w:p>
          <w:p w14:paraId="0C3BDCB8" w14:textId="1E104BB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permanente par des prestataires externes sont exclues.</w:t>
            </w:r>
          </w:p>
        </w:tc>
        <w:tc>
          <w:tcPr>
            <w:tcW w:w="1085" w:type="dxa"/>
          </w:tcPr>
          <w:p w14:paraId="6F8F4187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0660C8FB" w14:textId="77777777" w:rsidTr="00C92B81">
        <w:tc>
          <w:tcPr>
            <w:tcW w:w="1125" w:type="dxa"/>
            <w:vAlign w:val="center"/>
          </w:tcPr>
          <w:p w14:paraId="3C6D9123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1550" w:type="dxa"/>
            <w:vAlign w:val="center"/>
          </w:tcPr>
          <w:p w14:paraId="5265C03C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8.2.2</w:t>
            </w:r>
          </w:p>
        </w:tc>
        <w:tc>
          <w:tcPr>
            <w:tcW w:w="5256" w:type="dxa"/>
            <w:vAlign w:val="center"/>
          </w:tcPr>
          <w:p w14:paraId="248C9371" w14:textId="7235653F" w:rsidR="00C92B81" w:rsidRPr="00F33853" w:rsidRDefault="00C92B81" w:rsidP="00C92B81">
            <w:pPr>
              <w:spacing w:before="0" w:after="0"/>
              <w:ind w:left="31"/>
              <w:rPr>
                <w:rFonts w:cs="Arial"/>
                <w:sz w:val="18"/>
                <w:szCs w:val="18"/>
                <w:lang w:val="fr-BE" w:eastAsia="nl-NL"/>
              </w:rPr>
            </w:pPr>
            <w:r w:rsidRPr="00F33853">
              <w:rPr>
                <w:rFonts w:cs="Arial"/>
                <w:sz w:val="18"/>
                <w:szCs w:val="18"/>
                <w:lang w:val="fr-BE" w:eastAsia="nl-NL"/>
              </w:rPr>
              <w:t>Politiques et objectifs relatifs à la compétence, l’impartialité et la cohérence des activités de laboratoire</w:t>
            </w:r>
          </w:p>
        </w:tc>
        <w:tc>
          <w:tcPr>
            <w:tcW w:w="1085" w:type="dxa"/>
          </w:tcPr>
          <w:p w14:paraId="40012121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02359E3F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5E0475FB" w14:textId="77777777" w:rsidR="0000259C" w:rsidRPr="00F33853" w:rsidRDefault="0000259C" w:rsidP="0000259C">
      <w:pPr>
        <w:rPr>
          <w:lang w:val="fr-BE"/>
        </w:rPr>
      </w:pPr>
    </w:p>
    <w:p w14:paraId="6C2F06A2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37E73E84" w14:textId="77777777" w:rsidR="0000259C" w:rsidRPr="00F33853" w:rsidRDefault="0000259C" w:rsidP="000D7086">
      <w:pPr>
        <w:rPr>
          <w:lang w:val="fr-BE"/>
        </w:rPr>
      </w:pPr>
    </w:p>
    <w:p w14:paraId="7065F37A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 xml:space="preserve">EN ISO 15189:2012 § 4.2: Système de management de la qualité </w:t>
      </w:r>
    </w:p>
    <w:p w14:paraId="6EE6FF22" w14:textId="0A0CD524" w:rsidR="00C92B81" w:rsidRPr="00F33853" w:rsidRDefault="00C92B81" w:rsidP="00C92B8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5: Exigences structurelles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 xml:space="preserve">6.1: Exigences relatives aux ressources </w:t>
      </w:r>
      <w:r w:rsidR="00604F01" w:rsidRPr="00F33853">
        <w:rPr>
          <w:lang w:val="fr-BE"/>
        </w:rPr>
        <w:t>(</w:t>
      </w:r>
      <w:r w:rsidRPr="00F33853">
        <w:rPr>
          <w:lang w:val="fr-BE"/>
        </w:rPr>
        <w:t>Généralités</w:t>
      </w:r>
      <w:r w:rsidR="00604F01" w:rsidRPr="00F33853">
        <w:rPr>
          <w:lang w:val="fr-BE"/>
        </w:rPr>
        <w:t>) -</w:t>
      </w:r>
      <w:r w:rsidRPr="00F33853">
        <w:rPr>
          <w:lang w:val="fr-BE"/>
        </w:rPr>
        <w:t xml:space="preserve"> 8.1.1: Exigences relatives au système de management </w:t>
      </w:r>
      <w:r w:rsidR="00604F01" w:rsidRPr="00F33853">
        <w:rPr>
          <w:lang w:val="fr-BE"/>
        </w:rPr>
        <w:t>(</w:t>
      </w:r>
      <w:r w:rsidRPr="00F33853">
        <w:rPr>
          <w:lang w:val="fr-BE"/>
        </w:rPr>
        <w:t>Généralités</w:t>
      </w:r>
      <w:r w:rsidR="00604F01" w:rsidRPr="00F33853">
        <w:rPr>
          <w:lang w:val="fr-BE"/>
        </w:rPr>
        <w:t xml:space="preserve">) - </w:t>
      </w:r>
      <w:r w:rsidRPr="00F33853">
        <w:rPr>
          <w:lang w:val="fr-BE"/>
        </w:rPr>
        <w:t>8.2: Documentation du système de management</w:t>
      </w:r>
      <w:r w:rsidR="00604F01" w:rsidRPr="00F33853">
        <w:rPr>
          <w:lang w:val="fr-BE"/>
        </w:rPr>
        <w:t xml:space="preserve"> -</w:t>
      </w:r>
      <w:r w:rsidRPr="00F33853">
        <w:rPr>
          <w:lang w:val="fr-BE"/>
        </w:rPr>
        <w:t xml:space="preserve"> 8.3: Maîtrise de la documentation du système de management (Option 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0"/>
        <w:gridCol w:w="5255"/>
        <w:gridCol w:w="1085"/>
      </w:tblGrid>
      <w:tr w:rsidR="0000259C" w:rsidRPr="00F33853" w14:paraId="3EE4E706" w14:textId="77777777" w:rsidTr="00C92B81">
        <w:tc>
          <w:tcPr>
            <w:tcW w:w="2676" w:type="dxa"/>
            <w:gridSpan w:val="2"/>
          </w:tcPr>
          <w:p w14:paraId="62F578B3" w14:textId="0F63D821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7E245426" w14:textId="3AF5E5D4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52BD2FF0" w14:textId="0EBE3E7A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30BB11A2" w14:textId="77777777" w:rsidTr="00C92B81">
        <w:tc>
          <w:tcPr>
            <w:tcW w:w="1126" w:type="dxa"/>
          </w:tcPr>
          <w:p w14:paraId="6E7FAD0A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0" w:type="dxa"/>
          </w:tcPr>
          <w:p w14:paraId="331E4CFF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5" w:type="dxa"/>
            <w:vMerge/>
          </w:tcPr>
          <w:p w14:paraId="2C7CAFED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4675D00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EA68B9" w14:paraId="08A8E747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13A05350" w14:textId="351F4153" w:rsidR="0000259C" w:rsidRPr="00294B21" w:rsidRDefault="0000259C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>Système de management de la qualité</w:t>
            </w:r>
          </w:p>
        </w:tc>
      </w:tr>
      <w:tr w:rsidR="0000259C" w:rsidRPr="00F33853" w14:paraId="4DA3BA1D" w14:textId="77777777" w:rsidTr="00C92B81">
        <w:tc>
          <w:tcPr>
            <w:tcW w:w="1126" w:type="dxa"/>
            <w:vAlign w:val="center"/>
          </w:tcPr>
          <w:p w14:paraId="52BD3FA5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4.2.1</w:t>
            </w:r>
          </w:p>
        </w:tc>
        <w:tc>
          <w:tcPr>
            <w:tcW w:w="1550" w:type="dxa"/>
            <w:vAlign w:val="center"/>
          </w:tcPr>
          <w:p w14:paraId="413F874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5.5c, 6.1, 8.1.1, 8.2.1, 8.2.4, 8.2.5</w:t>
            </w:r>
          </w:p>
        </w:tc>
        <w:tc>
          <w:tcPr>
            <w:tcW w:w="5255" w:type="dxa"/>
            <w:vAlign w:val="center"/>
          </w:tcPr>
          <w:p w14:paraId="3D350BE0" w14:textId="63771F56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Exigences générales</w:t>
            </w:r>
          </w:p>
        </w:tc>
        <w:tc>
          <w:tcPr>
            <w:tcW w:w="1085" w:type="dxa"/>
          </w:tcPr>
          <w:p w14:paraId="371577DA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EA68B9" w14:paraId="768AB3BA" w14:textId="77777777" w:rsidTr="00C92B81">
        <w:tc>
          <w:tcPr>
            <w:tcW w:w="1126" w:type="dxa"/>
            <w:vAlign w:val="center"/>
          </w:tcPr>
          <w:p w14:paraId="1D27D529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4.2.2.1</w:t>
            </w:r>
          </w:p>
        </w:tc>
        <w:tc>
          <w:tcPr>
            <w:tcW w:w="1550" w:type="dxa"/>
            <w:vAlign w:val="center"/>
          </w:tcPr>
          <w:p w14:paraId="1C294B95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8.3.1</w:t>
            </w:r>
          </w:p>
        </w:tc>
        <w:tc>
          <w:tcPr>
            <w:tcW w:w="5255" w:type="dxa"/>
          </w:tcPr>
          <w:p w14:paraId="774543C1" w14:textId="6BFA08FF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Exigences relatives à la documentation : généralités</w:t>
            </w:r>
          </w:p>
        </w:tc>
        <w:tc>
          <w:tcPr>
            <w:tcW w:w="1085" w:type="dxa"/>
          </w:tcPr>
          <w:p w14:paraId="37453EE5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F33853" w14:paraId="062DC274" w14:textId="77777777" w:rsidTr="00C92B81">
        <w:tc>
          <w:tcPr>
            <w:tcW w:w="1126" w:type="dxa"/>
            <w:vAlign w:val="center"/>
          </w:tcPr>
          <w:p w14:paraId="421DCCEC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4.2.2.2</w:t>
            </w:r>
          </w:p>
        </w:tc>
        <w:tc>
          <w:tcPr>
            <w:tcW w:w="1550" w:type="dxa"/>
            <w:vAlign w:val="center"/>
          </w:tcPr>
          <w:p w14:paraId="0C4B585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5255" w:type="dxa"/>
          </w:tcPr>
          <w:p w14:paraId="4189F7CC" w14:textId="723807E9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Manuel qualité</w:t>
            </w:r>
          </w:p>
        </w:tc>
        <w:tc>
          <w:tcPr>
            <w:tcW w:w="1085" w:type="dxa"/>
          </w:tcPr>
          <w:p w14:paraId="64F42B4B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2A42CEF0" w14:textId="77777777" w:rsidTr="00C92B81">
        <w:tc>
          <w:tcPr>
            <w:tcW w:w="1126" w:type="dxa"/>
            <w:vAlign w:val="center"/>
          </w:tcPr>
          <w:p w14:paraId="24898654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1550" w:type="dxa"/>
            <w:vAlign w:val="center"/>
          </w:tcPr>
          <w:p w14:paraId="4AF3021B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8.1.2</w:t>
            </w:r>
          </w:p>
        </w:tc>
        <w:tc>
          <w:tcPr>
            <w:tcW w:w="5255" w:type="dxa"/>
          </w:tcPr>
          <w:p w14:paraId="67A4AB7C" w14:textId="49D82236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Système de management: option A</w:t>
            </w:r>
          </w:p>
        </w:tc>
        <w:tc>
          <w:tcPr>
            <w:tcW w:w="1085" w:type="dxa"/>
          </w:tcPr>
          <w:p w14:paraId="3353A08B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646239DF" w14:textId="77777777" w:rsidTr="00C92B81">
        <w:tc>
          <w:tcPr>
            <w:tcW w:w="1126" w:type="dxa"/>
            <w:vAlign w:val="center"/>
          </w:tcPr>
          <w:p w14:paraId="600989E1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1550" w:type="dxa"/>
            <w:vAlign w:val="center"/>
          </w:tcPr>
          <w:p w14:paraId="68FB5B85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8.1.3</w:t>
            </w:r>
          </w:p>
        </w:tc>
        <w:tc>
          <w:tcPr>
            <w:tcW w:w="5255" w:type="dxa"/>
          </w:tcPr>
          <w:p w14:paraId="0DF2F4E8" w14:textId="03A55B6C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Système de management: option B</w:t>
            </w:r>
          </w:p>
        </w:tc>
        <w:tc>
          <w:tcPr>
            <w:tcW w:w="1085" w:type="dxa"/>
          </w:tcPr>
          <w:p w14:paraId="3CAA17DC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1B60D7B1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D3F70CC" w14:textId="77777777" w:rsidR="0000259C" w:rsidRPr="00F33853" w:rsidRDefault="0000259C" w:rsidP="0000259C">
      <w:pPr>
        <w:rPr>
          <w:lang w:val="fr-BE"/>
        </w:rPr>
      </w:pPr>
    </w:p>
    <w:p w14:paraId="35D73799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5E508878" w14:textId="77777777" w:rsidR="0000259C" w:rsidRPr="00F33853" w:rsidRDefault="0000259C" w:rsidP="000D7086">
      <w:pPr>
        <w:rPr>
          <w:lang w:val="fr-BE"/>
        </w:rPr>
      </w:pPr>
    </w:p>
    <w:p w14:paraId="57EACC15" w14:textId="14DE7CF5" w:rsidR="0000259C" w:rsidRPr="00F33853" w:rsidRDefault="0000259C" w:rsidP="0000259C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4.3: Maîtrise des documents</w:t>
      </w:r>
    </w:p>
    <w:p w14:paraId="4D70313F" w14:textId="77777777" w:rsidR="00C92B81" w:rsidRPr="00F33853" w:rsidRDefault="00C92B81" w:rsidP="00C92B8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8.3: Maîtrise de la documentation du système de management (Option 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4"/>
        <w:gridCol w:w="5274"/>
        <w:gridCol w:w="1062"/>
      </w:tblGrid>
      <w:tr w:rsidR="00DD2CED" w:rsidRPr="00F33853" w14:paraId="7E4697E3" w14:textId="77777777" w:rsidTr="00A67AD7">
        <w:tc>
          <w:tcPr>
            <w:tcW w:w="2689" w:type="dxa"/>
            <w:gridSpan w:val="2"/>
          </w:tcPr>
          <w:p w14:paraId="4E053BF2" w14:textId="77D60DB2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305" w:type="dxa"/>
            <w:vMerge w:val="restart"/>
            <w:vAlign w:val="center"/>
          </w:tcPr>
          <w:p w14:paraId="39D989AF" w14:textId="5EFF68EE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22" w:type="dxa"/>
            <w:vMerge w:val="restart"/>
            <w:vAlign w:val="center"/>
          </w:tcPr>
          <w:p w14:paraId="6983BF16" w14:textId="6FD45E4B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70C8507B" w14:textId="77777777" w:rsidTr="00A67AD7">
        <w:tc>
          <w:tcPr>
            <w:tcW w:w="1129" w:type="dxa"/>
          </w:tcPr>
          <w:p w14:paraId="753DEB0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</w:tcPr>
          <w:p w14:paraId="636F6135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305" w:type="dxa"/>
            <w:vMerge/>
          </w:tcPr>
          <w:p w14:paraId="42F1287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22" w:type="dxa"/>
            <w:vMerge/>
          </w:tcPr>
          <w:p w14:paraId="38AA1A8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3FC901B3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4FC47BAA" w14:textId="65B0CB74" w:rsidR="0000259C" w:rsidRPr="00F33853" w:rsidRDefault="000D7086" w:rsidP="00F33853">
            <w:pPr>
              <w:pStyle w:val="Tabeltitel"/>
            </w:pPr>
            <w:proofErr w:type="spellStart"/>
            <w:r w:rsidRPr="00F33853">
              <w:t>Maîtrise</w:t>
            </w:r>
            <w:proofErr w:type="spellEnd"/>
            <w:r w:rsidRPr="00F33853">
              <w:t xml:space="preserve"> des </w:t>
            </w:r>
            <w:proofErr w:type="spellStart"/>
            <w:r w:rsidRPr="00F33853">
              <w:t>documents</w:t>
            </w:r>
            <w:proofErr w:type="spellEnd"/>
          </w:p>
        </w:tc>
      </w:tr>
      <w:tr w:rsidR="0000259C" w:rsidRPr="00EA68B9" w14:paraId="408E95C6" w14:textId="77777777" w:rsidTr="00A67AD7">
        <w:tc>
          <w:tcPr>
            <w:tcW w:w="1129" w:type="dxa"/>
          </w:tcPr>
          <w:p w14:paraId="1D52FAC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4.3</w:t>
            </w:r>
          </w:p>
        </w:tc>
        <w:tc>
          <w:tcPr>
            <w:tcW w:w="1560" w:type="dxa"/>
          </w:tcPr>
          <w:p w14:paraId="136C9551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8.3.1, 8.3.2</w:t>
            </w:r>
          </w:p>
        </w:tc>
        <w:tc>
          <w:tcPr>
            <w:tcW w:w="5305" w:type="dxa"/>
          </w:tcPr>
          <w:p w14:paraId="47A90E28" w14:textId="6F4D5EA2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Approbation, diffusion et modification des documents</w:t>
            </w:r>
          </w:p>
        </w:tc>
        <w:tc>
          <w:tcPr>
            <w:tcW w:w="1022" w:type="dxa"/>
          </w:tcPr>
          <w:p w14:paraId="3B90E42E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</w:tbl>
    <w:p w14:paraId="1F7F3A2B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EE75451" w14:textId="77777777" w:rsidR="0000259C" w:rsidRPr="00F33853" w:rsidRDefault="0000259C" w:rsidP="0000259C">
      <w:pPr>
        <w:rPr>
          <w:lang w:val="fr-BE"/>
        </w:rPr>
      </w:pPr>
    </w:p>
    <w:p w14:paraId="3B9A9951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lastRenderedPageBreak/>
        <w:t>Description générale des constatations y compris référence aux éventuelles non-conformités :</w:t>
      </w:r>
    </w:p>
    <w:p w14:paraId="1ED4DBAE" w14:textId="77777777" w:rsidR="0000259C" w:rsidRPr="00F33853" w:rsidRDefault="0000259C" w:rsidP="00944B4A">
      <w:pPr>
        <w:rPr>
          <w:lang w:val="fr-BE"/>
        </w:rPr>
      </w:pPr>
    </w:p>
    <w:p w14:paraId="6E4E991C" w14:textId="7E31AE80" w:rsidR="0000259C" w:rsidRPr="00F33853" w:rsidRDefault="0000259C" w:rsidP="0000259C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4.4: Contrats de prestations</w:t>
      </w:r>
    </w:p>
    <w:p w14:paraId="5FE8A7E7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7.1: Revue des demandes, appels d'offres et contrats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50"/>
        <w:gridCol w:w="5258"/>
        <w:gridCol w:w="1085"/>
      </w:tblGrid>
      <w:tr w:rsidR="00DD2CED" w:rsidRPr="00F33853" w14:paraId="0FA70096" w14:textId="77777777" w:rsidTr="00C92B81">
        <w:tc>
          <w:tcPr>
            <w:tcW w:w="2673" w:type="dxa"/>
            <w:gridSpan w:val="2"/>
          </w:tcPr>
          <w:p w14:paraId="788A9572" w14:textId="2F2A5790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8" w:type="dxa"/>
            <w:vMerge w:val="restart"/>
            <w:vAlign w:val="center"/>
          </w:tcPr>
          <w:p w14:paraId="779420E2" w14:textId="6E406F04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08BE82A7" w14:textId="67429B9B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3EAC89BA" w14:textId="77777777" w:rsidTr="00C92B81">
        <w:tc>
          <w:tcPr>
            <w:tcW w:w="1123" w:type="dxa"/>
          </w:tcPr>
          <w:p w14:paraId="14CE2BA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0" w:type="dxa"/>
          </w:tcPr>
          <w:p w14:paraId="446D38C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8" w:type="dxa"/>
            <w:vMerge/>
          </w:tcPr>
          <w:p w14:paraId="2D27E9FC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6F482B2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53A3C0AD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7C2C897F" w14:textId="28CAC82C" w:rsidR="0000259C" w:rsidRPr="00F33853" w:rsidRDefault="000D7086" w:rsidP="00F33853">
            <w:pPr>
              <w:pStyle w:val="Tabeltitel"/>
            </w:pPr>
            <w:proofErr w:type="spellStart"/>
            <w:r w:rsidRPr="00F33853">
              <w:t>Contrats</w:t>
            </w:r>
            <w:proofErr w:type="spellEnd"/>
            <w:r w:rsidRPr="00F33853">
              <w:t xml:space="preserve"> de prestations</w:t>
            </w:r>
          </w:p>
        </w:tc>
      </w:tr>
      <w:tr w:rsidR="0000259C" w:rsidRPr="00EA68B9" w14:paraId="00AE761A" w14:textId="77777777" w:rsidTr="00C92B81">
        <w:tc>
          <w:tcPr>
            <w:tcW w:w="1123" w:type="dxa"/>
            <w:vAlign w:val="center"/>
          </w:tcPr>
          <w:p w14:paraId="4C238A48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4.4.1</w:t>
            </w:r>
          </w:p>
        </w:tc>
        <w:tc>
          <w:tcPr>
            <w:tcW w:w="1550" w:type="dxa"/>
            <w:vAlign w:val="center"/>
          </w:tcPr>
          <w:p w14:paraId="0A7CD968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7.1.1, 7.1.2, 7.1.5</w:t>
            </w:r>
          </w:p>
        </w:tc>
        <w:tc>
          <w:tcPr>
            <w:tcW w:w="5258" w:type="dxa"/>
            <w:vAlign w:val="center"/>
          </w:tcPr>
          <w:p w14:paraId="72AD17CF" w14:textId="021AB0AF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Établissements de contrats de prestations</w:t>
            </w:r>
          </w:p>
        </w:tc>
        <w:tc>
          <w:tcPr>
            <w:tcW w:w="1085" w:type="dxa"/>
          </w:tcPr>
          <w:p w14:paraId="757766C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EA68B9" w14:paraId="18EC1014" w14:textId="77777777" w:rsidTr="00C92B81">
        <w:tc>
          <w:tcPr>
            <w:tcW w:w="1123" w:type="dxa"/>
            <w:vAlign w:val="center"/>
          </w:tcPr>
          <w:p w14:paraId="3FF57187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4.4.2</w:t>
            </w:r>
          </w:p>
        </w:tc>
        <w:tc>
          <w:tcPr>
            <w:tcW w:w="1550" w:type="dxa"/>
            <w:vAlign w:val="center"/>
          </w:tcPr>
          <w:p w14:paraId="461116B8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7.1.6, 7.1.8</w:t>
            </w:r>
          </w:p>
        </w:tc>
        <w:tc>
          <w:tcPr>
            <w:tcW w:w="5258" w:type="dxa"/>
            <w:vAlign w:val="center"/>
          </w:tcPr>
          <w:p w14:paraId="18A16B82" w14:textId="54F8CB24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Revue des contrats de prestations</w:t>
            </w:r>
          </w:p>
        </w:tc>
        <w:tc>
          <w:tcPr>
            <w:tcW w:w="1085" w:type="dxa"/>
          </w:tcPr>
          <w:p w14:paraId="03A62BD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47465CEA" w14:textId="77777777" w:rsidTr="00C92B81">
        <w:tc>
          <w:tcPr>
            <w:tcW w:w="1123" w:type="dxa"/>
            <w:vAlign w:val="center"/>
          </w:tcPr>
          <w:p w14:paraId="33317B40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0" w:type="dxa"/>
            <w:vAlign w:val="center"/>
          </w:tcPr>
          <w:p w14:paraId="0C5211A2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7.1.3</w:t>
            </w:r>
          </w:p>
        </w:tc>
        <w:tc>
          <w:tcPr>
            <w:tcW w:w="5258" w:type="dxa"/>
          </w:tcPr>
          <w:p w14:paraId="437B1CFD" w14:textId="1E2598EC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Règles de décision en matière de déclaration de conformité</w:t>
            </w:r>
          </w:p>
        </w:tc>
        <w:tc>
          <w:tcPr>
            <w:tcW w:w="1085" w:type="dxa"/>
          </w:tcPr>
          <w:p w14:paraId="6513E508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7A0085CC" w14:textId="77777777" w:rsidTr="00C92B81">
        <w:tc>
          <w:tcPr>
            <w:tcW w:w="1123" w:type="dxa"/>
            <w:vAlign w:val="center"/>
          </w:tcPr>
          <w:p w14:paraId="71676442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0" w:type="dxa"/>
            <w:vAlign w:val="center"/>
          </w:tcPr>
          <w:p w14:paraId="267E1D5B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7.1.4</w:t>
            </w:r>
          </w:p>
        </w:tc>
        <w:tc>
          <w:tcPr>
            <w:tcW w:w="5258" w:type="dxa"/>
          </w:tcPr>
          <w:p w14:paraId="4F38FCC1" w14:textId="23684803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Résolution des différences entre les demandes/appels d’offres et le contrat.</w:t>
            </w:r>
          </w:p>
        </w:tc>
        <w:tc>
          <w:tcPr>
            <w:tcW w:w="1085" w:type="dxa"/>
          </w:tcPr>
          <w:p w14:paraId="58456A01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12EB7305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DA840A9" w14:textId="77777777" w:rsidR="0000259C" w:rsidRPr="00F33853" w:rsidRDefault="0000259C" w:rsidP="0000259C">
      <w:pPr>
        <w:rPr>
          <w:lang w:val="fr-BE"/>
        </w:rPr>
      </w:pPr>
    </w:p>
    <w:p w14:paraId="6AC575EC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4A56C81C" w14:textId="77777777" w:rsidR="0000259C" w:rsidRPr="00F33853" w:rsidRDefault="0000259C" w:rsidP="000D7086">
      <w:pPr>
        <w:rPr>
          <w:lang w:val="fr-BE"/>
        </w:rPr>
      </w:pPr>
    </w:p>
    <w:p w14:paraId="28A64CB1" w14:textId="2012C9DD" w:rsidR="0000259C" w:rsidRPr="00F33853" w:rsidRDefault="0000259C" w:rsidP="0000259C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4.5: </w:t>
      </w:r>
      <w:r w:rsidRPr="00F33853">
        <w:rPr>
          <w:rFonts w:eastAsia="Calibri"/>
          <w:color w:val="000000"/>
          <w:szCs w:val="24"/>
          <w:lang w:val="fr-BE"/>
        </w:rPr>
        <w:t>Examens transmis à des laboratoires sous-traitants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4"/>
        <w:gridCol w:w="5274"/>
        <w:gridCol w:w="1062"/>
      </w:tblGrid>
      <w:tr w:rsidR="00DD2CED" w:rsidRPr="00F33853" w14:paraId="5F2AF816" w14:textId="77777777" w:rsidTr="00A67AD7">
        <w:tc>
          <w:tcPr>
            <w:tcW w:w="2689" w:type="dxa"/>
            <w:gridSpan w:val="2"/>
          </w:tcPr>
          <w:p w14:paraId="1DEEBE7E" w14:textId="472E05A8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308" w:type="dxa"/>
            <w:vMerge w:val="restart"/>
            <w:vAlign w:val="center"/>
          </w:tcPr>
          <w:p w14:paraId="6B0E9CBF" w14:textId="264DFE00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19" w:type="dxa"/>
            <w:vMerge w:val="restart"/>
            <w:vAlign w:val="center"/>
          </w:tcPr>
          <w:p w14:paraId="2AA03556" w14:textId="7C1EC2D5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7211B1EE" w14:textId="77777777" w:rsidTr="00A67AD7">
        <w:tc>
          <w:tcPr>
            <w:tcW w:w="1129" w:type="dxa"/>
          </w:tcPr>
          <w:p w14:paraId="0E7C47A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</w:tcPr>
          <w:p w14:paraId="50D5751C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308" w:type="dxa"/>
            <w:vMerge/>
          </w:tcPr>
          <w:p w14:paraId="27FA89CA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19" w:type="dxa"/>
            <w:vMerge/>
          </w:tcPr>
          <w:p w14:paraId="5184E352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EA68B9" w14:paraId="5F79765B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2BE3DBF1" w14:textId="60EBFB51" w:rsidR="0000259C" w:rsidRPr="00294B21" w:rsidRDefault="000D7086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>Examens transmis à des laboratoires sous-traitants</w:t>
            </w:r>
          </w:p>
        </w:tc>
      </w:tr>
      <w:tr w:rsidR="0000259C" w:rsidRPr="00EA68B9" w14:paraId="360AE19B" w14:textId="77777777" w:rsidTr="00A67AD7">
        <w:tc>
          <w:tcPr>
            <w:tcW w:w="1129" w:type="dxa"/>
            <w:vAlign w:val="center"/>
          </w:tcPr>
          <w:p w14:paraId="51BE57AD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4.5.1</w:t>
            </w:r>
          </w:p>
        </w:tc>
        <w:tc>
          <w:tcPr>
            <w:tcW w:w="1560" w:type="dxa"/>
            <w:vAlign w:val="center"/>
          </w:tcPr>
          <w:p w14:paraId="0E3660CA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308" w:type="dxa"/>
            <w:vAlign w:val="center"/>
          </w:tcPr>
          <w:p w14:paraId="572BF029" w14:textId="5B2D3FC5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Sélection et évaluation de laboratoires sous-traitants et consultants</w:t>
            </w:r>
          </w:p>
        </w:tc>
        <w:tc>
          <w:tcPr>
            <w:tcW w:w="1019" w:type="dxa"/>
          </w:tcPr>
          <w:p w14:paraId="4BA9395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00259C" w:rsidRPr="00EA68B9" w14:paraId="627FEE89" w14:textId="77777777" w:rsidTr="00A67AD7">
        <w:tc>
          <w:tcPr>
            <w:tcW w:w="1129" w:type="dxa"/>
            <w:vAlign w:val="center"/>
          </w:tcPr>
          <w:p w14:paraId="5A7DC6F5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4.5.2</w:t>
            </w:r>
          </w:p>
        </w:tc>
        <w:tc>
          <w:tcPr>
            <w:tcW w:w="1560" w:type="dxa"/>
            <w:vAlign w:val="center"/>
          </w:tcPr>
          <w:p w14:paraId="26468211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308" w:type="dxa"/>
            <w:vAlign w:val="center"/>
          </w:tcPr>
          <w:p w14:paraId="79F89094" w14:textId="71F445ED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Compte rendu des résultats d’examens</w:t>
            </w:r>
          </w:p>
        </w:tc>
        <w:tc>
          <w:tcPr>
            <w:tcW w:w="1019" w:type="dxa"/>
          </w:tcPr>
          <w:p w14:paraId="4FCF65C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</w:tbl>
    <w:p w14:paraId="6EB0DF0D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1269F195" w14:textId="77777777" w:rsidR="0000259C" w:rsidRPr="00F33853" w:rsidRDefault="0000259C" w:rsidP="0000259C">
      <w:pPr>
        <w:rPr>
          <w:lang w:val="fr-BE"/>
        </w:rPr>
      </w:pPr>
    </w:p>
    <w:p w14:paraId="05659E59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5E7F48D1" w14:textId="77777777" w:rsidR="0000259C" w:rsidRPr="00F33853" w:rsidRDefault="0000259C" w:rsidP="000D7086">
      <w:pPr>
        <w:rPr>
          <w:lang w:val="fr-BE"/>
        </w:rPr>
      </w:pPr>
    </w:p>
    <w:p w14:paraId="7628E977" w14:textId="4CB1C03C" w:rsidR="0000259C" w:rsidRPr="00F33853" w:rsidRDefault="0000259C" w:rsidP="0000259C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4.6: </w:t>
      </w:r>
      <w:r w:rsidRPr="00F33853">
        <w:rPr>
          <w:rFonts w:eastAsia="Calibri"/>
          <w:color w:val="000000"/>
          <w:szCs w:val="24"/>
          <w:lang w:val="fr-BE"/>
        </w:rPr>
        <w:t>Services externes et approvisionnement</w:t>
      </w:r>
    </w:p>
    <w:p w14:paraId="2B25D67D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6.6: Produits et services fournis par des prestataires externes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51"/>
        <w:gridCol w:w="5256"/>
        <w:gridCol w:w="1085"/>
      </w:tblGrid>
      <w:tr w:rsidR="00DD2CED" w:rsidRPr="00F33853" w14:paraId="31D396B8" w14:textId="77777777" w:rsidTr="00A67AD7">
        <w:tc>
          <w:tcPr>
            <w:tcW w:w="2675" w:type="dxa"/>
            <w:gridSpan w:val="2"/>
          </w:tcPr>
          <w:p w14:paraId="47D44CB2" w14:textId="5CD433BC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6" w:type="dxa"/>
            <w:vMerge w:val="restart"/>
            <w:vAlign w:val="center"/>
          </w:tcPr>
          <w:p w14:paraId="368F1936" w14:textId="0E1CA08F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2AC71093" w14:textId="1D818118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0D3C0E87" w14:textId="77777777" w:rsidTr="00A67AD7">
        <w:tc>
          <w:tcPr>
            <w:tcW w:w="1124" w:type="dxa"/>
          </w:tcPr>
          <w:p w14:paraId="1D49D6F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</w:tcPr>
          <w:p w14:paraId="34C90F43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6" w:type="dxa"/>
            <w:vMerge/>
          </w:tcPr>
          <w:p w14:paraId="205B3A0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66CE23B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D7086" w:rsidRPr="00F33853" w14:paraId="0552BAB8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5406009F" w14:textId="61332340" w:rsidR="000D7086" w:rsidRPr="00F33853" w:rsidRDefault="000D7086" w:rsidP="00F33853">
            <w:pPr>
              <w:pStyle w:val="Tabeltitel"/>
            </w:pPr>
            <w:r w:rsidRPr="00F33853">
              <w:t xml:space="preserve">Services </w:t>
            </w:r>
            <w:proofErr w:type="spellStart"/>
            <w:r w:rsidRPr="00F33853">
              <w:t>externes</w:t>
            </w:r>
            <w:proofErr w:type="spellEnd"/>
            <w:r w:rsidRPr="00F33853">
              <w:t xml:space="preserve"> et </w:t>
            </w:r>
            <w:proofErr w:type="spellStart"/>
            <w:r w:rsidRPr="00F33853">
              <w:t>approvisionnement</w:t>
            </w:r>
            <w:proofErr w:type="spellEnd"/>
            <w:r w:rsidRPr="00F33853">
              <w:t xml:space="preserve"> </w:t>
            </w:r>
          </w:p>
        </w:tc>
      </w:tr>
      <w:tr w:rsidR="000D7086" w:rsidRPr="00EA68B9" w14:paraId="18FA6113" w14:textId="77777777" w:rsidTr="00A67AD7">
        <w:tc>
          <w:tcPr>
            <w:tcW w:w="1124" w:type="dxa"/>
            <w:vAlign w:val="center"/>
          </w:tcPr>
          <w:p w14:paraId="51D1C7FC" w14:textId="77777777" w:rsidR="000D7086" w:rsidRPr="00F33853" w:rsidRDefault="000D7086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4.6</w:t>
            </w:r>
          </w:p>
        </w:tc>
        <w:tc>
          <w:tcPr>
            <w:tcW w:w="1551" w:type="dxa"/>
            <w:vAlign w:val="center"/>
          </w:tcPr>
          <w:p w14:paraId="77F1EFA7" w14:textId="77777777" w:rsidR="000D7086" w:rsidRPr="00F33853" w:rsidRDefault="000D7086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6.6.1, 6.6.2</w:t>
            </w:r>
          </w:p>
        </w:tc>
        <w:tc>
          <w:tcPr>
            <w:tcW w:w="5256" w:type="dxa"/>
          </w:tcPr>
          <w:p w14:paraId="1783C318" w14:textId="52FB387B" w:rsidR="000D7086" w:rsidRPr="00F33853" w:rsidRDefault="000D7086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Procédure pour sélection, achat - liste des fournisseurs  - surveiller la performance</w:t>
            </w:r>
          </w:p>
        </w:tc>
        <w:tc>
          <w:tcPr>
            <w:tcW w:w="1085" w:type="dxa"/>
          </w:tcPr>
          <w:p w14:paraId="34E03913" w14:textId="77777777" w:rsidR="000D7086" w:rsidRPr="00F33853" w:rsidRDefault="000D7086" w:rsidP="00F33853">
            <w:pPr>
              <w:pStyle w:val="Tabelinhoud"/>
              <w:rPr>
                <w:lang w:val="fr-BE"/>
              </w:rPr>
            </w:pPr>
          </w:p>
        </w:tc>
      </w:tr>
      <w:tr w:rsidR="000D7086" w:rsidRPr="00EA68B9" w14:paraId="76F4453A" w14:textId="77777777" w:rsidTr="00A67AD7">
        <w:tc>
          <w:tcPr>
            <w:tcW w:w="1124" w:type="dxa"/>
          </w:tcPr>
          <w:p w14:paraId="586AE134" w14:textId="77777777" w:rsidR="000D7086" w:rsidRPr="00F33853" w:rsidRDefault="000D7086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174E76CA" w14:textId="77777777" w:rsidR="000D7086" w:rsidRPr="00F33853" w:rsidRDefault="000D7086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6.6.3</w:t>
            </w:r>
          </w:p>
        </w:tc>
        <w:tc>
          <w:tcPr>
            <w:tcW w:w="5256" w:type="dxa"/>
          </w:tcPr>
          <w:p w14:paraId="382FD044" w14:textId="3E2BC2EC" w:rsidR="000D7086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Communication aux prestataires externes des exigences qui leur sont applicables</w:t>
            </w:r>
          </w:p>
        </w:tc>
        <w:tc>
          <w:tcPr>
            <w:tcW w:w="1085" w:type="dxa"/>
          </w:tcPr>
          <w:p w14:paraId="1D5592FA" w14:textId="77777777" w:rsidR="000D7086" w:rsidRPr="00F33853" w:rsidRDefault="000D7086" w:rsidP="00F33853">
            <w:pPr>
              <w:pStyle w:val="Tabelinhoud"/>
              <w:rPr>
                <w:lang w:val="fr-BE"/>
              </w:rPr>
            </w:pPr>
          </w:p>
        </w:tc>
      </w:tr>
    </w:tbl>
    <w:p w14:paraId="39C3F4FD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2D9A5C5D" w14:textId="77777777" w:rsidR="0000259C" w:rsidRPr="00F33853" w:rsidRDefault="0000259C" w:rsidP="0000259C">
      <w:pPr>
        <w:rPr>
          <w:lang w:val="fr-BE"/>
        </w:rPr>
      </w:pPr>
    </w:p>
    <w:p w14:paraId="15D61615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283BB624" w14:textId="77777777" w:rsidR="0000259C" w:rsidRPr="00F33853" w:rsidRDefault="0000259C" w:rsidP="000D7086">
      <w:pPr>
        <w:rPr>
          <w:lang w:val="fr-BE"/>
        </w:rPr>
      </w:pPr>
    </w:p>
    <w:p w14:paraId="020FD9A8" w14:textId="62F4D262" w:rsidR="0000259C" w:rsidRPr="00F33853" w:rsidRDefault="0000259C" w:rsidP="0000259C">
      <w:pPr>
        <w:pStyle w:val="Kop4"/>
        <w:rPr>
          <w:lang w:val="fr-BE"/>
        </w:rPr>
      </w:pPr>
      <w:r w:rsidRPr="00F33853">
        <w:rPr>
          <w:lang w:val="fr-BE"/>
        </w:rPr>
        <w:lastRenderedPageBreak/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4.7: Prestations de conseils</w:t>
      </w:r>
    </w:p>
    <w:p w14:paraId="76416685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7.1: Revue des demandes, appels d'offres et contrats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4"/>
        <w:gridCol w:w="5274"/>
        <w:gridCol w:w="1062"/>
      </w:tblGrid>
      <w:tr w:rsidR="00DD2CED" w:rsidRPr="00F33853" w14:paraId="2DD5900A" w14:textId="77777777" w:rsidTr="00A67AD7">
        <w:tc>
          <w:tcPr>
            <w:tcW w:w="2689" w:type="dxa"/>
            <w:gridSpan w:val="2"/>
          </w:tcPr>
          <w:p w14:paraId="2E2EA688" w14:textId="2C05E80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304" w:type="dxa"/>
            <w:vMerge w:val="restart"/>
            <w:vAlign w:val="center"/>
          </w:tcPr>
          <w:p w14:paraId="4EB7813A" w14:textId="56AF384D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23" w:type="dxa"/>
            <w:vMerge w:val="restart"/>
            <w:vAlign w:val="center"/>
          </w:tcPr>
          <w:p w14:paraId="70E57565" w14:textId="45BBEB33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331A1C52" w14:textId="77777777" w:rsidTr="00A67AD7">
        <w:tc>
          <w:tcPr>
            <w:tcW w:w="1129" w:type="dxa"/>
          </w:tcPr>
          <w:p w14:paraId="75039C4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</w:tcPr>
          <w:p w14:paraId="268F6F64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304" w:type="dxa"/>
            <w:vMerge/>
          </w:tcPr>
          <w:p w14:paraId="67B12545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23" w:type="dxa"/>
            <w:vMerge/>
          </w:tcPr>
          <w:p w14:paraId="11EFAF05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79BB789D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0BBD56E6" w14:textId="311A6DD2" w:rsidR="0000259C" w:rsidRPr="00F33853" w:rsidRDefault="000D7086" w:rsidP="00F33853">
            <w:pPr>
              <w:pStyle w:val="Tabeltitel"/>
            </w:pPr>
            <w:r w:rsidRPr="00F33853">
              <w:t xml:space="preserve">Prestations de </w:t>
            </w:r>
            <w:proofErr w:type="spellStart"/>
            <w:r w:rsidRPr="00F33853">
              <w:t>conseils</w:t>
            </w:r>
            <w:proofErr w:type="spellEnd"/>
          </w:p>
        </w:tc>
      </w:tr>
      <w:tr w:rsidR="0000259C" w:rsidRPr="00F33853" w14:paraId="761D0E5A" w14:textId="77777777" w:rsidTr="00A67AD7">
        <w:tc>
          <w:tcPr>
            <w:tcW w:w="1129" w:type="dxa"/>
          </w:tcPr>
          <w:p w14:paraId="280F0EAE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4.7</w:t>
            </w:r>
          </w:p>
        </w:tc>
        <w:tc>
          <w:tcPr>
            <w:tcW w:w="1560" w:type="dxa"/>
          </w:tcPr>
          <w:p w14:paraId="64B2F590" w14:textId="77777777" w:rsidR="0000259C" w:rsidRPr="00F33853" w:rsidRDefault="0000259C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7.1.7</w:t>
            </w:r>
          </w:p>
        </w:tc>
        <w:tc>
          <w:tcPr>
            <w:tcW w:w="5304" w:type="dxa"/>
          </w:tcPr>
          <w:p w14:paraId="408372AC" w14:textId="1A10DFD1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Information, conseil et accompagnement</w:t>
            </w:r>
          </w:p>
        </w:tc>
        <w:tc>
          <w:tcPr>
            <w:tcW w:w="1023" w:type="dxa"/>
          </w:tcPr>
          <w:p w14:paraId="0DD316C4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</w:tbl>
    <w:p w14:paraId="63A1625C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414747FA" w14:textId="77777777" w:rsidR="0000259C" w:rsidRPr="00F33853" w:rsidRDefault="0000259C" w:rsidP="0000259C">
      <w:pPr>
        <w:rPr>
          <w:lang w:val="fr-BE"/>
        </w:rPr>
      </w:pPr>
    </w:p>
    <w:p w14:paraId="66A11284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1D514435" w14:textId="77777777" w:rsidR="0000259C" w:rsidRPr="00F33853" w:rsidRDefault="0000259C" w:rsidP="000D7086">
      <w:pPr>
        <w:rPr>
          <w:lang w:val="fr-BE"/>
        </w:rPr>
      </w:pPr>
    </w:p>
    <w:p w14:paraId="72390AA7" w14:textId="2E12B58C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4.8: </w:t>
      </w:r>
      <w:r w:rsidRPr="00F33853">
        <w:rPr>
          <w:rFonts w:eastAsia="Calibri"/>
          <w:color w:val="000000"/>
          <w:szCs w:val="24"/>
          <w:lang w:val="fr-BE"/>
        </w:rPr>
        <w:t>Traitement des réclamations</w:t>
      </w:r>
    </w:p>
    <w:p w14:paraId="58A4CC99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7.9: Réclamations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51"/>
        <w:gridCol w:w="5256"/>
        <w:gridCol w:w="1085"/>
      </w:tblGrid>
      <w:tr w:rsidR="00DD2CED" w:rsidRPr="00F33853" w14:paraId="07D96AD1" w14:textId="77777777" w:rsidTr="00C92B81">
        <w:tc>
          <w:tcPr>
            <w:tcW w:w="2675" w:type="dxa"/>
            <w:gridSpan w:val="2"/>
          </w:tcPr>
          <w:p w14:paraId="68F88FF8" w14:textId="7A4A2998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6" w:type="dxa"/>
            <w:vMerge w:val="restart"/>
            <w:vAlign w:val="center"/>
          </w:tcPr>
          <w:p w14:paraId="22B7FE47" w14:textId="7DAD2CDA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07A2B3D3" w14:textId="191EED1F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72BB6279" w14:textId="77777777" w:rsidTr="00C92B81">
        <w:tc>
          <w:tcPr>
            <w:tcW w:w="1124" w:type="dxa"/>
          </w:tcPr>
          <w:p w14:paraId="3AE37A24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</w:tcPr>
          <w:p w14:paraId="43D182F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6" w:type="dxa"/>
            <w:vMerge/>
          </w:tcPr>
          <w:p w14:paraId="579AB11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6488E4B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1D39160B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19BDB0EC" w14:textId="6DBD68D8" w:rsidR="0000259C" w:rsidRPr="00F33853" w:rsidRDefault="000D7086" w:rsidP="00F33853">
            <w:pPr>
              <w:pStyle w:val="Tabeltitel"/>
            </w:pPr>
            <w:proofErr w:type="spellStart"/>
            <w:r w:rsidRPr="00F33853">
              <w:t>Traitement</w:t>
            </w:r>
            <w:proofErr w:type="spellEnd"/>
            <w:r w:rsidRPr="00F33853">
              <w:t xml:space="preserve"> des </w:t>
            </w:r>
            <w:proofErr w:type="spellStart"/>
            <w:r w:rsidRPr="00F33853">
              <w:t>réclamations</w:t>
            </w:r>
            <w:proofErr w:type="spellEnd"/>
          </w:p>
        </w:tc>
      </w:tr>
      <w:tr w:rsidR="0000259C" w:rsidRPr="00EA68B9" w14:paraId="6FC663FC" w14:textId="77777777" w:rsidTr="00C92B81">
        <w:tc>
          <w:tcPr>
            <w:tcW w:w="1124" w:type="dxa"/>
            <w:vAlign w:val="center"/>
          </w:tcPr>
          <w:p w14:paraId="320F6256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4.8</w:t>
            </w:r>
          </w:p>
        </w:tc>
        <w:tc>
          <w:tcPr>
            <w:tcW w:w="1551" w:type="dxa"/>
            <w:vAlign w:val="center"/>
          </w:tcPr>
          <w:p w14:paraId="133C5BE1" w14:textId="77777777" w:rsidR="0000259C" w:rsidRPr="00F33853" w:rsidRDefault="0000259C" w:rsidP="00F33853">
            <w:pPr>
              <w:pStyle w:val="Tabelinhoud"/>
              <w:rPr>
                <w:color w:val="000000"/>
                <w:lang w:val="fr-BE"/>
              </w:rPr>
            </w:pPr>
            <w:r w:rsidRPr="00F33853">
              <w:rPr>
                <w:lang w:val="fr-BE"/>
              </w:rPr>
              <w:t xml:space="preserve">7.9.1, </w:t>
            </w:r>
          </w:p>
        </w:tc>
        <w:tc>
          <w:tcPr>
            <w:tcW w:w="5256" w:type="dxa"/>
          </w:tcPr>
          <w:p w14:paraId="0D9D8A07" w14:textId="133E0B77" w:rsidR="0000259C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Procédure - enregistrement et examen - traçabilité et actions correctives</w:t>
            </w:r>
          </w:p>
        </w:tc>
        <w:tc>
          <w:tcPr>
            <w:tcW w:w="1085" w:type="dxa"/>
          </w:tcPr>
          <w:p w14:paraId="6FC4E65D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5C4A03E5" w14:textId="77777777" w:rsidTr="00C92B81">
        <w:tc>
          <w:tcPr>
            <w:tcW w:w="1124" w:type="dxa"/>
          </w:tcPr>
          <w:p w14:paraId="28F6B176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1B02B989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7.9.2 - 7.9.3</w:t>
            </w:r>
          </w:p>
        </w:tc>
        <w:tc>
          <w:tcPr>
            <w:tcW w:w="5256" w:type="dxa"/>
          </w:tcPr>
          <w:p w14:paraId="5294830D" w14:textId="7910192C" w:rsidR="00C92B81" w:rsidRPr="00F33853" w:rsidRDefault="00C92B81" w:rsidP="00F33853">
            <w:pPr>
              <w:pStyle w:val="Tabelinhoud"/>
              <w:rPr>
                <w:color w:val="000000"/>
                <w:lang w:val="fr-BE"/>
              </w:rPr>
            </w:pPr>
            <w:r w:rsidRPr="00F33853">
              <w:rPr>
                <w:lang w:val="fr-BE"/>
              </w:rPr>
              <w:t>Description du processus de traitement des réclamations mise à disposition de toute partie intéressée</w:t>
            </w:r>
          </w:p>
        </w:tc>
        <w:tc>
          <w:tcPr>
            <w:tcW w:w="1085" w:type="dxa"/>
          </w:tcPr>
          <w:p w14:paraId="2674721A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2616D34D" w14:textId="77777777" w:rsidTr="00C92B81">
        <w:tc>
          <w:tcPr>
            <w:tcW w:w="1124" w:type="dxa"/>
          </w:tcPr>
          <w:p w14:paraId="1E8447BA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53C074C0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7.9.4</w:t>
            </w:r>
          </w:p>
        </w:tc>
        <w:tc>
          <w:tcPr>
            <w:tcW w:w="5256" w:type="dxa"/>
          </w:tcPr>
          <w:p w14:paraId="0998952C" w14:textId="79A2A53E" w:rsidR="00C92B81" w:rsidRPr="00F33853" w:rsidRDefault="00C92B81" w:rsidP="00F33853">
            <w:pPr>
              <w:pStyle w:val="Tabelinhoud"/>
              <w:rPr>
                <w:color w:val="000000"/>
                <w:lang w:val="fr-BE"/>
              </w:rPr>
            </w:pPr>
            <w:r w:rsidRPr="00F33853">
              <w:rPr>
                <w:lang w:val="fr-BE"/>
              </w:rPr>
              <w:t>Collecte et vérification de toutes les informations nécessaires permettant de valider une réclamation</w:t>
            </w:r>
          </w:p>
        </w:tc>
        <w:tc>
          <w:tcPr>
            <w:tcW w:w="1085" w:type="dxa"/>
          </w:tcPr>
          <w:p w14:paraId="3D9F5F46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7B8E6495" w14:textId="77777777" w:rsidTr="00C92B81">
        <w:tc>
          <w:tcPr>
            <w:tcW w:w="1124" w:type="dxa"/>
          </w:tcPr>
          <w:p w14:paraId="54B506C4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3FD16638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7.9.5</w:t>
            </w:r>
          </w:p>
        </w:tc>
        <w:tc>
          <w:tcPr>
            <w:tcW w:w="5256" w:type="dxa"/>
          </w:tcPr>
          <w:p w14:paraId="5F4B4417" w14:textId="6FAA29E4" w:rsidR="00C92B81" w:rsidRPr="00F33853" w:rsidRDefault="00C92B81" w:rsidP="00F33853">
            <w:pPr>
              <w:pStyle w:val="Tabelinhoud"/>
              <w:rPr>
                <w:color w:val="000000"/>
                <w:lang w:val="fr-BE"/>
              </w:rPr>
            </w:pPr>
            <w:r w:rsidRPr="00F33853">
              <w:rPr>
                <w:lang w:val="fr-BE"/>
              </w:rPr>
              <w:t>Informer le plaignant (accuser réception, état d’avancement et conclusions)</w:t>
            </w:r>
          </w:p>
        </w:tc>
        <w:tc>
          <w:tcPr>
            <w:tcW w:w="1085" w:type="dxa"/>
          </w:tcPr>
          <w:p w14:paraId="658006B6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5B88BA4E" w14:textId="77777777" w:rsidTr="00C92B81">
        <w:tc>
          <w:tcPr>
            <w:tcW w:w="1124" w:type="dxa"/>
          </w:tcPr>
          <w:p w14:paraId="20B59A9F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71F98E37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7.9.6</w:t>
            </w:r>
          </w:p>
        </w:tc>
        <w:tc>
          <w:tcPr>
            <w:tcW w:w="5256" w:type="dxa"/>
          </w:tcPr>
          <w:p w14:paraId="0DD1C6A0" w14:textId="6E15FF18" w:rsidR="00C92B81" w:rsidRPr="00F33853" w:rsidRDefault="00C92B81" w:rsidP="00F33853">
            <w:pPr>
              <w:pStyle w:val="Tabelinhoud"/>
              <w:rPr>
                <w:color w:val="000000"/>
                <w:lang w:val="fr-BE"/>
              </w:rPr>
            </w:pPr>
            <w:r w:rsidRPr="00F33853">
              <w:rPr>
                <w:lang w:val="fr-BE"/>
              </w:rPr>
              <w:t>Conclusion approuvée par une personne indépendante</w:t>
            </w:r>
          </w:p>
        </w:tc>
        <w:tc>
          <w:tcPr>
            <w:tcW w:w="1085" w:type="dxa"/>
          </w:tcPr>
          <w:p w14:paraId="43BD984E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3F35537D" w14:textId="77777777" w:rsidTr="00C92B81">
        <w:tc>
          <w:tcPr>
            <w:tcW w:w="1124" w:type="dxa"/>
          </w:tcPr>
          <w:p w14:paraId="2760379A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3141CCB0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7.9.7</w:t>
            </w:r>
          </w:p>
        </w:tc>
        <w:tc>
          <w:tcPr>
            <w:tcW w:w="5256" w:type="dxa"/>
          </w:tcPr>
          <w:p w14:paraId="44564930" w14:textId="5CE831E1" w:rsidR="00C92B81" w:rsidRPr="00F33853" w:rsidRDefault="00C92B81" w:rsidP="00F33853">
            <w:pPr>
              <w:pStyle w:val="Tabelinhoud"/>
              <w:rPr>
                <w:color w:val="000000"/>
                <w:lang w:val="fr-BE"/>
              </w:rPr>
            </w:pPr>
            <w:r w:rsidRPr="00F33853">
              <w:rPr>
                <w:lang w:val="fr-BE"/>
              </w:rPr>
              <w:t>Notification au plaignant la fin du traitement de la réclamation</w:t>
            </w:r>
          </w:p>
        </w:tc>
        <w:tc>
          <w:tcPr>
            <w:tcW w:w="1085" w:type="dxa"/>
          </w:tcPr>
          <w:p w14:paraId="3D429AB1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5ADB9529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34F63FA7" w14:textId="77777777" w:rsidR="0000259C" w:rsidRPr="00F33853" w:rsidRDefault="0000259C" w:rsidP="0000259C">
      <w:pPr>
        <w:rPr>
          <w:lang w:val="fr-BE"/>
        </w:rPr>
      </w:pPr>
    </w:p>
    <w:p w14:paraId="65F4C9E0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5CBADE9A" w14:textId="77777777" w:rsidR="0000259C" w:rsidRPr="00F33853" w:rsidRDefault="0000259C" w:rsidP="000D7086">
      <w:pPr>
        <w:rPr>
          <w:lang w:val="fr-BE"/>
        </w:rPr>
      </w:pPr>
    </w:p>
    <w:p w14:paraId="4683250A" w14:textId="7F41337A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4.9: </w:t>
      </w:r>
      <w:r w:rsidRPr="00F33853">
        <w:rPr>
          <w:rFonts w:eastAsia="Calibri"/>
          <w:color w:val="000000"/>
          <w:szCs w:val="24"/>
          <w:lang w:val="fr-BE"/>
        </w:rPr>
        <w:t>Identification et maîtrise des non-conformités</w:t>
      </w:r>
    </w:p>
    <w:p w14:paraId="3D5F35EE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7.10: Travaux non conformes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49"/>
        <w:gridCol w:w="5259"/>
        <w:gridCol w:w="1085"/>
      </w:tblGrid>
      <w:tr w:rsidR="00DD2CED" w:rsidRPr="00F33853" w14:paraId="748616A2" w14:textId="77777777" w:rsidTr="00A67AD7">
        <w:tc>
          <w:tcPr>
            <w:tcW w:w="2672" w:type="dxa"/>
            <w:gridSpan w:val="2"/>
          </w:tcPr>
          <w:p w14:paraId="21640659" w14:textId="21E0801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9" w:type="dxa"/>
            <w:vMerge w:val="restart"/>
            <w:vAlign w:val="center"/>
          </w:tcPr>
          <w:p w14:paraId="15543856" w14:textId="497A0D3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5B01F0F7" w14:textId="0C4663AE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364BAD20" w14:textId="77777777" w:rsidTr="00A67AD7">
        <w:tc>
          <w:tcPr>
            <w:tcW w:w="1123" w:type="dxa"/>
            <w:vAlign w:val="center"/>
          </w:tcPr>
          <w:p w14:paraId="571F3C1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49" w:type="dxa"/>
            <w:vAlign w:val="center"/>
          </w:tcPr>
          <w:p w14:paraId="64500B5A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9" w:type="dxa"/>
            <w:vMerge/>
          </w:tcPr>
          <w:p w14:paraId="6DD057D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6CC7566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D7086" w:rsidRPr="00EA68B9" w14:paraId="2337A0BF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103D8583" w14:textId="6D784D84" w:rsidR="000D7086" w:rsidRPr="00294B21" w:rsidRDefault="000D7086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 xml:space="preserve">Identification et maîtrise des non-conformités </w:t>
            </w:r>
          </w:p>
        </w:tc>
      </w:tr>
      <w:tr w:rsidR="000D7086" w:rsidRPr="00EA68B9" w14:paraId="7206A062" w14:textId="77777777" w:rsidTr="00A67AD7">
        <w:tc>
          <w:tcPr>
            <w:tcW w:w="1123" w:type="dxa"/>
            <w:vAlign w:val="center"/>
          </w:tcPr>
          <w:p w14:paraId="281E9508" w14:textId="77777777" w:rsidR="000D7086" w:rsidRPr="00F33853" w:rsidRDefault="000D7086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4.9</w:t>
            </w:r>
          </w:p>
        </w:tc>
        <w:tc>
          <w:tcPr>
            <w:tcW w:w="1549" w:type="dxa"/>
            <w:vAlign w:val="center"/>
          </w:tcPr>
          <w:p w14:paraId="38481EFC" w14:textId="77777777" w:rsidR="000D7086" w:rsidRPr="00F33853" w:rsidRDefault="000D7086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7.10.1, 7.10.2, 7.10.3</w:t>
            </w:r>
          </w:p>
        </w:tc>
        <w:tc>
          <w:tcPr>
            <w:tcW w:w="5259" w:type="dxa"/>
          </w:tcPr>
          <w:p w14:paraId="41D98389" w14:textId="11901D93" w:rsidR="000D7086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Procédure : identification – gestion - responsabilités - actions immédiates – cause et l’étendue – cessation - signification médicale – reprise – documentation et enregistrements – tendances - comptes rendus et diffusion des résultats</w:t>
            </w:r>
          </w:p>
        </w:tc>
        <w:tc>
          <w:tcPr>
            <w:tcW w:w="1085" w:type="dxa"/>
          </w:tcPr>
          <w:p w14:paraId="5097FE61" w14:textId="77777777" w:rsidR="000D7086" w:rsidRPr="00F33853" w:rsidRDefault="000D7086" w:rsidP="00F33853">
            <w:pPr>
              <w:pStyle w:val="Tabelinhoud"/>
              <w:rPr>
                <w:lang w:val="fr-BE"/>
              </w:rPr>
            </w:pPr>
          </w:p>
        </w:tc>
      </w:tr>
    </w:tbl>
    <w:p w14:paraId="612F3E86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C7E7BEF" w14:textId="77777777" w:rsidR="0000259C" w:rsidRPr="00F33853" w:rsidRDefault="0000259C" w:rsidP="0000259C">
      <w:pPr>
        <w:rPr>
          <w:lang w:val="fr-BE"/>
        </w:rPr>
      </w:pPr>
    </w:p>
    <w:p w14:paraId="4B65772F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4DF6B802" w14:textId="77777777" w:rsidR="0000259C" w:rsidRPr="00F33853" w:rsidRDefault="0000259C" w:rsidP="000D7086">
      <w:pPr>
        <w:rPr>
          <w:lang w:val="fr-BE"/>
        </w:rPr>
      </w:pPr>
    </w:p>
    <w:p w14:paraId="52DB0682" w14:textId="341D1865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lastRenderedPageBreak/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4.10: Actions correctives</w:t>
      </w:r>
    </w:p>
    <w:p w14:paraId="02DF9108" w14:textId="3BE503F5" w:rsidR="0000259C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8.7: Actions correctives (Option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3"/>
        <w:gridCol w:w="5252"/>
        <w:gridCol w:w="18"/>
        <w:gridCol w:w="1067"/>
      </w:tblGrid>
      <w:tr w:rsidR="00A67AD7" w:rsidRPr="00F33853" w14:paraId="6A303934" w14:textId="77777777" w:rsidTr="00A67AD7">
        <w:tc>
          <w:tcPr>
            <w:tcW w:w="2679" w:type="dxa"/>
            <w:gridSpan w:val="2"/>
            <w:vAlign w:val="center"/>
          </w:tcPr>
          <w:p w14:paraId="3B0D8B69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2" w:type="dxa"/>
            <w:vMerge w:val="restart"/>
            <w:vAlign w:val="center"/>
          </w:tcPr>
          <w:p w14:paraId="11A9FEBC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14:paraId="419E1FA1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A67AD7" w:rsidRPr="00F33853" w14:paraId="0E2E0BEB" w14:textId="77777777" w:rsidTr="00A67AD7">
        <w:tc>
          <w:tcPr>
            <w:tcW w:w="1126" w:type="dxa"/>
            <w:vAlign w:val="center"/>
          </w:tcPr>
          <w:p w14:paraId="570F784D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3" w:type="dxa"/>
            <w:vAlign w:val="center"/>
          </w:tcPr>
          <w:p w14:paraId="0786F7D8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2" w:type="dxa"/>
            <w:vMerge/>
          </w:tcPr>
          <w:p w14:paraId="5FDED316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gridSpan w:val="2"/>
            <w:vMerge/>
          </w:tcPr>
          <w:p w14:paraId="0254E6FC" w14:textId="77777777" w:rsidR="00A67AD7" w:rsidRPr="00F33853" w:rsidRDefault="00A67AD7" w:rsidP="00F33853">
            <w:pPr>
              <w:pStyle w:val="Tabeltitel"/>
              <w:rPr>
                <w:lang w:val="fr-BE"/>
              </w:rPr>
            </w:pPr>
          </w:p>
        </w:tc>
      </w:tr>
      <w:tr w:rsidR="00A67AD7" w:rsidRPr="00F33853" w14:paraId="0BEA350E" w14:textId="77777777" w:rsidTr="00496343">
        <w:tc>
          <w:tcPr>
            <w:tcW w:w="9016" w:type="dxa"/>
            <w:gridSpan w:val="5"/>
            <w:shd w:val="clear" w:color="auto" w:fill="E7E6E6" w:themeFill="background2"/>
          </w:tcPr>
          <w:p w14:paraId="2FD14FAC" w14:textId="7FD4224D" w:rsidR="00A67AD7" w:rsidRPr="00F33853" w:rsidRDefault="00A67AD7" w:rsidP="00F33853">
            <w:pPr>
              <w:pStyle w:val="Tabeltitel"/>
            </w:pPr>
            <w:r w:rsidRPr="00F33853">
              <w:t xml:space="preserve">Actions </w:t>
            </w:r>
            <w:proofErr w:type="spellStart"/>
            <w:r w:rsidRPr="00F33853">
              <w:t>correctives</w:t>
            </w:r>
            <w:proofErr w:type="spellEnd"/>
          </w:p>
        </w:tc>
      </w:tr>
      <w:tr w:rsidR="0000259C" w:rsidRPr="00EA68B9" w14:paraId="44A1C466" w14:textId="77777777" w:rsidTr="00A67AD7">
        <w:tc>
          <w:tcPr>
            <w:tcW w:w="1126" w:type="dxa"/>
            <w:vAlign w:val="center"/>
          </w:tcPr>
          <w:p w14:paraId="6CA9FDAD" w14:textId="77777777" w:rsidR="0000259C" w:rsidRPr="00F33853" w:rsidRDefault="0000259C" w:rsidP="0000259C">
            <w:pPr>
              <w:rPr>
                <w:sz w:val="18"/>
                <w:szCs w:val="18"/>
                <w:lang w:val="fr-BE"/>
              </w:rPr>
            </w:pPr>
            <w:r w:rsidRPr="00F33853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4.10</w:t>
            </w:r>
          </w:p>
        </w:tc>
        <w:tc>
          <w:tcPr>
            <w:tcW w:w="1553" w:type="dxa"/>
            <w:vAlign w:val="center"/>
          </w:tcPr>
          <w:p w14:paraId="5075CFAE" w14:textId="15B2A549" w:rsidR="0000259C" w:rsidRPr="00F33853" w:rsidRDefault="0000259C" w:rsidP="00496343">
            <w:pPr>
              <w:jc w:val="left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F33853">
              <w:rPr>
                <w:rFonts w:cs="Arial"/>
                <w:sz w:val="18"/>
                <w:szCs w:val="18"/>
                <w:lang w:val="fr-BE" w:eastAsia="nl-NL"/>
              </w:rPr>
              <w:t>8.7.1,</w:t>
            </w:r>
            <w:r w:rsidR="00496343" w:rsidRPr="00F33853">
              <w:rPr>
                <w:rFonts w:cs="Arial"/>
                <w:sz w:val="18"/>
                <w:szCs w:val="18"/>
                <w:lang w:val="fr-BE" w:eastAsia="nl-NL"/>
              </w:rPr>
              <w:t xml:space="preserve"> </w:t>
            </w:r>
            <w:r w:rsidRPr="00F33853">
              <w:rPr>
                <w:rFonts w:cs="Arial"/>
                <w:sz w:val="18"/>
                <w:szCs w:val="18"/>
                <w:lang w:val="fr-BE" w:eastAsia="nl-NL"/>
              </w:rPr>
              <w:t>8.7.2, 8.7.3</w:t>
            </w:r>
          </w:p>
        </w:tc>
        <w:tc>
          <w:tcPr>
            <w:tcW w:w="5270" w:type="dxa"/>
            <w:gridSpan w:val="2"/>
          </w:tcPr>
          <w:p w14:paraId="52AD2D89" w14:textId="42526D49" w:rsidR="0000259C" w:rsidRPr="00F33853" w:rsidRDefault="00496343" w:rsidP="0000259C">
            <w:pPr>
              <w:rPr>
                <w:sz w:val="18"/>
                <w:szCs w:val="18"/>
                <w:lang w:val="fr-BE"/>
              </w:rPr>
            </w:pPr>
            <w:r w:rsidRPr="00F33853">
              <w:rPr>
                <w:rFonts w:cs="Arial"/>
                <w:color w:val="000000"/>
                <w:szCs w:val="18"/>
                <w:lang w:val="fr-BE" w:eastAsia="nl-NL"/>
              </w:rPr>
              <w:t>Procédure : analyse des causes profondes - Choix, mise en œuvre des actions correctives – enregistrements - l’efficacité</w:t>
            </w:r>
          </w:p>
        </w:tc>
        <w:tc>
          <w:tcPr>
            <w:tcW w:w="1067" w:type="dxa"/>
          </w:tcPr>
          <w:p w14:paraId="58B8CD1D" w14:textId="77777777" w:rsidR="0000259C" w:rsidRPr="00F33853" w:rsidRDefault="0000259C" w:rsidP="0000259C">
            <w:pPr>
              <w:rPr>
                <w:sz w:val="18"/>
                <w:szCs w:val="18"/>
                <w:lang w:val="fr-BE"/>
              </w:rPr>
            </w:pPr>
          </w:p>
        </w:tc>
      </w:tr>
    </w:tbl>
    <w:p w14:paraId="5E0CA5B3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263DB013" w14:textId="77777777" w:rsidR="0000259C" w:rsidRPr="00F33853" w:rsidRDefault="0000259C" w:rsidP="0000259C">
      <w:pPr>
        <w:rPr>
          <w:lang w:val="fr-BE"/>
        </w:rPr>
      </w:pPr>
    </w:p>
    <w:p w14:paraId="27989FE5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761DD550" w14:textId="77777777" w:rsidR="0000259C" w:rsidRPr="00F33853" w:rsidRDefault="0000259C" w:rsidP="000D7086">
      <w:pPr>
        <w:rPr>
          <w:lang w:val="fr-BE"/>
        </w:rPr>
      </w:pPr>
    </w:p>
    <w:p w14:paraId="3FCCE61E" w14:textId="654CE4BA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4.11: Actions préventive</w:t>
      </w:r>
    </w:p>
    <w:p w14:paraId="1DE00683" w14:textId="77777777" w:rsidR="00C92B81" w:rsidRPr="00F33853" w:rsidRDefault="00C92B81" w:rsidP="00C92B8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8.5: Actions à mettre en œuvre face aux risques et opportunités (Option 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4"/>
        <w:gridCol w:w="5274"/>
        <w:gridCol w:w="1062"/>
      </w:tblGrid>
      <w:tr w:rsidR="00DD2CED" w:rsidRPr="00F33853" w14:paraId="01E9258B" w14:textId="77777777" w:rsidTr="00A67AD7">
        <w:tc>
          <w:tcPr>
            <w:tcW w:w="2689" w:type="dxa"/>
            <w:gridSpan w:val="2"/>
            <w:vAlign w:val="center"/>
          </w:tcPr>
          <w:p w14:paraId="5D8978AC" w14:textId="77EF769A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306" w:type="dxa"/>
            <w:vMerge w:val="restart"/>
            <w:vAlign w:val="center"/>
          </w:tcPr>
          <w:p w14:paraId="7DE73C24" w14:textId="00AB88F1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21" w:type="dxa"/>
            <w:vMerge w:val="restart"/>
            <w:vAlign w:val="center"/>
          </w:tcPr>
          <w:p w14:paraId="2AFB333B" w14:textId="5F18F9DE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77C01BA1" w14:textId="77777777" w:rsidTr="00A67AD7">
        <w:tc>
          <w:tcPr>
            <w:tcW w:w="1129" w:type="dxa"/>
            <w:vAlign w:val="center"/>
          </w:tcPr>
          <w:p w14:paraId="6852076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  <w:vAlign w:val="center"/>
          </w:tcPr>
          <w:p w14:paraId="2DF4012C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306" w:type="dxa"/>
            <w:vMerge/>
          </w:tcPr>
          <w:p w14:paraId="04DDC94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21" w:type="dxa"/>
            <w:vMerge/>
          </w:tcPr>
          <w:p w14:paraId="4B7F8FE5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7902CCCD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1FF0EEB8" w14:textId="1BB7EEE8" w:rsidR="0000259C" w:rsidRPr="00F33853" w:rsidRDefault="00A06569" w:rsidP="00F33853">
            <w:pPr>
              <w:pStyle w:val="Tabeltitel"/>
            </w:pPr>
            <w:r w:rsidRPr="00F33853">
              <w:t xml:space="preserve">Actions </w:t>
            </w:r>
            <w:proofErr w:type="spellStart"/>
            <w:r w:rsidRPr="00F33853">
              <w:t>préventive</w:t>
            </w:r>
            <w:proofErr w:type="spellEnd"/>
          </w:p>
        </w:tc>
      </w:tr>
      <w:tr w:rsidR="0000259C" w:rsidRPr="00EA68B9" w14:paraId="65AD0EA1" w14:textId="77777777" w:rsidTr="00A67AD7">
        <w:tc>
          <w:tcPr>
            <w:tcW w:w="1129" w:type="dxa"/>
            <w:vAlign w:val="center"/>
          </w:tcPr>
          <w:p w14:paraId="7B77CB02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4.11</w:t>
            </w:r>
          </w:p>
        </w:tc>
        <w:tc>
          <w:tcPr>
            <w:tcW w:w="1560" w:type="dxa"/>
            <w:vAlign w:val="center"/>
          </w:tcPr>
          <w:p w14:paraId="3DB3F35A" w14:textId="77777777" w:rsidR="0000259C" w:rsidRPr="00F33853" w:rsidRDefault="0000259C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 w:eastAsia="nl-NL"/>
              </w:rPr>
              <w:t>8.5.1, 8.5.2, 8.5.3</w:t>
            </w:r>
          </w:p>
        </w:tc>
        <w:tc>
          <w:tcPr>
            <w:tcW w:w="5306" w:type="dxa"/>
          </w:tcPr>
          <w:p w14:paraId="3B8BA5A1" w14:textId="23113E20" w:rsidR="0000259C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 xml:space="preserve">Procédure : analyse des causes profondes, mise en œuvre et mise </w:t>
            </w:r>
            <w:proofErr w:type="spellStart"/>
            <w:r w:rsidRPr="00F33853">
              <w:rPr>
                <w:lang w:val="fr-BE" w:eastAsia="nl-NL"/>
              </w:rPr>
              <w:t>et</w:t>
            </w:r>
            <w:proofErr w:type="spellEnd"/>
            <w:r w:rsidRPr="00F33853">
              <w:rPr>
                <w:lang w:val="fr-BE" w:eastAsia="nl-NL"/>
              </w:rPr>
              <w:t xml:space="preserve"> œuvre des actions préventives - l’efficacité</w:t>
            </w:r>
          </w:p>
        </w:tc>
        <w:tc>
          <w:tcPr>
            <w:tcW w:w="1021" w:type="dxa"/>
          </w:tcPr>
          <w:p w14:paraId="775DD479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</w:tbl>
    <w:p w14:paraId="6892F19B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84BA5CB" w14:textId="77777777" w:rsidR="0000259C" w:rsidRPr="00F33853" w:rsidRDefault="0000259C" w:rsidP="0000259C">
      <w:pPr>
        <w:rPr>
          <w:lang w:val="fr-BE"/>
        </w:rPr>
      </w:pPr>
    </w:p>
    <w:p w14:paraId="39243876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60AF1B82" w14:textId="77777777" w:rsidR="0000259C" w:rsidRPr="00F33853" w:rsidRDefault="0000259C" w:rsidP="000D7086">
      <w:pPr>
        <w:rPr>
          <w:lang w:val="fr-BE"/>
        </w:rPr>
      </w:pPr>
    </w:p>
    <w:p w14:paraId="6FC2A870" w14:textId="73496AAD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4.12: Amélioration continue</w:t>
      </w:r>
    </w:p>
    <w:p w14:paraId="621B9CA6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8.6: Amélioration (Option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4"/>
        <w:gridCol w:w="5274"/>
        <w:gridCol w:w="1062"/>
      </w:tblGrid>
      <w:tr w:rsidR="00DD2CED" w:rsidRPr="00F33853" w14:paraId="44BE9959" w14:textId="77777777" w:rsidTr="00A67AD7">
        <w:tc>
          <w:tcPr>
            <w:tcW w:w="2689" w:type="dxa"/>
            <w:gridSpan w:val="2"/>
            <w:vAlign w:val="center"/>
          </w:tcPr>
          <w:p w14:paraId="6DB69880" w14:textId="4E42306A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306" w:type="dxa"/>
            <w:vMerge w:val="restart"/>
            <w:vAlign w:val="center"/>
          </w:tcPr>
          <w:p w14:paraId="11055ADE" w14:textId="73B16597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21" w:type="dxa"/>
            <w:vMerge w:val="restart"/>
            <w:vAlign w:val="center"/>
          </w:tcPr>
          <w:p w14:paraId="157BAD93" w14:textId="69B73B82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3F7B2C7A" w14:textId="77777777" w:rsidTr="00A67AD7">
        <w:tc>
          <w:tcPr>
            <w:tcW w:w="1129" w:type="dxa"/>
            <w:vAlign w:val="center"/>
          </w:tcPr>
          <w:p w14:paraId="5F0DC6F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  <w:vAlign w:val="center"/>
          </w:tcPr>
          <w:p w14:paraId="2E96F78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306" w:type="dxa"/>
            <w:vMerge/>
          </w:tcPr>
          <w:p w14:paraId="70A3C5C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21" w:type="dxa"/>
            <w:vMerge/>
          </w:tcPr>
          <w:p w14:paraId="55E7FA53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2E2D0D40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7366147E" w14:textId="55BC2841" w:rsidR="0000259C" w:rsidRPr="00F33853" w:rsidRDefault="00A06569" w:rsidP="00F33853">
            <w:pPr>
              <w:pStyle w:val="Tabeltitel"/>
            </w:pPr>
            <w:proofErr w:type="spellStart"/>
            <w:r w:rsidRPr="00F33853">
              <w:t>Amélioration</w:t>
            </w:r>
            <w:proofErr w:type="spellEnd"/>
            <w:r w:rsidRPr="00F33853">
              <w:t xml:space="preserve"> continue</w:t>
            </w:r>
          </w:p>
        </w:tc>
      </w:tr>
      <w:tr w:rsidR="0000259C" w:rsidRPr="00EA68B9" w14:paraId="41C92D90" w14:textId="77777777" w:rsidTr="00A67AD7">
        <w:tc>
          <w:tcPr>
            <w:tcW w:w="1129" w:type="dxa"/>
            <w:vAlign w:val="center"/>
          </w:tcPr>
          <w:p w14:paraId="1162243F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4.12</w:t>
            </w:r>
          </w:p>
        </w:tc>
        <w:tc>
          <w:tcPr>
            <w:tcW w:w="1560" w:type="dxa"/>
            <w:vAlign w:val="center"/>
          </w:tcPr>
          <w:p w14:paraId="7D15501C" w14:textId="77777777" w:rsidR="0000259C" w:rsidRPr="00F33853" w:rsidRDefault="0000259C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 w:eastAsia="nl-NL"/>
              </w:rPr>
              <w:t>8.6.1</w:t>
            </w:r>
          </w:p>
        </w:tc>
        <w:tc>
          <w:tcPr>
            <w:tcW w:w="5306" w:type="dxa"/>
          </w:tcPr>
          <w:p w14:paraId="35AF5076" w14:textId="3D0AA622" w:rsidR="0000259C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Identification, documentation et mise en œuvre des plans d’amélioration</w:t>
            </w:r>
          </w:p>
        </w:tc>
        <w:tc>
          <w:tcPr>
            <w:tcW w:w="1021" w:type="dxa"/>
          </w:tcPr>
          <w:p w14:paraId="21AE9650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</w:tbl>
    <w:p w14:paraId="169D519A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2C504163" w14:textId="77777777" w:rsidR="0000259C" w:rsidRPr="00F33853" w:rsidRDefault="0000259C" w:rsidP="0000259C">
      <w:pPr>
        <w:rPr>
          <w:lang w:val="fr-BE"/>
        </w:rPr>
      </w:pPr>
    </w:p>
    <w:p w14:paraId="1DE92E89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7761E390" w14:textId="77777777" w:rsidR="0000259C" w:rsidRPr="00F33853" w:rsidRDefault="0000259C" w:rsidP="000D7086">
      <w:pPr>
        <w:rPr>
          <w:lang w:val="fr-BE"/>
        </w:rPr>
      </w:pPr>
    </w:p>
    <w:p w14:paraId="21004904" w14:textId="0D7DB517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4.13: Maîtrise des enregistrements</w:t>
      </w:r>
    </w:p>
    <w:p w14:paraId="01B2822B" w14:textId="62917916" w:rsidR="00C92B81" w:rsidRPr="00F33853" w:rsidRDefault="00C92B81" w:rsidP="00604F0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7.5: Enregistrements techniques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8.4: Maîtrise des enregistrements (Option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4"/>
        <w:gridCol w:w="5275"/>
        <w:gridCol w:w="1062"/>
      </w:tblGrid>
      <w:tr w:rsidR="00DD2CED" w:rsidRPr="00F33853" w14:paraId="3845CC9D" w14:textId="77777777" w:rsidTr="00A67AD7">
        <w:tc>
          <w:tcPr>
            <w:tcW w:w="2689" w:type="dxa"/>
            <w:gridSpan w:val="2"/>
            <w:vAlign w:val="center"/>
          </w:tcPr>
          <w:p w14:paraId="28F6E3AE" w14:textId="59473394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309" w:type="dxa"/>
            <w:vMerge w:val="restart"/>
            <w:vAlign w:val="center"/>
          </w:tcPr>
          <w:p w14:paraId="228946E8" w14:textId="750FC5C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18" w:type="dxa"/>
            <w:vMerge w:val="restart"/>
            <w:vAlign w:val="center"/>
          </w:tcPr>
          <w:p w14:paraId="0771EAB5" w14:textId="544F7CBE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21C3A263" w14:textId="77777777" w:rsidTr="00A67AD7">
        <w:tc>
          <w:tcPr>
            <w:tcW w:w="1129" w:type="dxa"/>
            <w:vAlign w:val="center"/>
          </w:tcPr>
          <w:p w14:paraId="68C778FA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  <w:vAlign w:val="center"/>
          </w:tcPr>
          <w:p w14:paraId="4778F5C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309" w:type="dxa"/>
            <w:vMerge/>
          </w:tcPr>
          <w:p w14:paraId="0679767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18" w:type="dxa"/>
            <w:vMerge/>
          </w:tcPr>
          <w:p w14:paraId="7CC1616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5CF011F5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69397951" w14:textId="6DEAD45D" w:rsidR="0000259C" w:rsidRPr="00F33853" w:rsidRDefault="00A06569" w:rsidP="00F33853">
            <w:pPr>
              <w:pStyle w:val="Tabeltitel"/>
            </w:pPr>
            <w:proofErr w:type="spellStart"/>
            <w:r w:rsidRPr="00F33853">
              <w:t>Maîtrise</w:t>
            </w:r>
            <w:proofErr w:type="spellEnd"/>
            <w:r w:rsidRPr="00F33853">
              <w:t xml:space="preserve"> des </w:t>
            </w:r>
            <w:proofErr w:type="spellStart"/>
            <w:r w:rsidRPr="00F33853">
              <w:t>enregistrements</w:t>
            </w:r>
            <w:proofErr w:type="spellEnd"/>
          </w:p>
        </w:tc>
      </w:tr>
      <w:tr w:rsidR="0000259C" w:rsidRPr="00EA68B9" w14:paraId="792B1C5E" w14:textId="77777777" w:rsidTr="00A67AD7">
        <w:tc>
          <w:tcPr>
            <w:tcW w:w="1129" w:type="dxa"/>
            <w:vAlign w:val="center"/>
          </w:tcPr>
          <w:p w14:paraId="00EDD5AD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  <w:bookmarkStart w:id="1" w:name="_Hlk95397116"/>
            <w:r w:rsidRPr="00F33853">
              <w:rPr>
                <w:lang w:val="fr-BE" w:eastAsia="nl-NL"/>
              </w:rPr>
              <w:t>4.13</w:t>
            </w:r>
          </w:p>
        </w:tc>
        <w:tc>
          <w:tcPr>
            <w:tcW w:w="1560" w:type="dxa"/>
            <w:vAlign w:val="center"/>
          </w:tcPr>
          <w:p w14:paraId="3F2AF004" w14:textId="77777777" w:rsidR="0000259C" w:rsidRPr="00F33853" w:rsidRDefault="0000259C" w:rsidP="0000259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F33853">
              <w:rPr>
                <w:rFonts w:cs="Arial"/>
                <w:sz w:val="18"/>
                <w:szCs w:val="18"/>
                <w:lang w:val="fr-BE" w:eastAsia="nl-NL"/>
              </w:rPr>
              <w:t>8.4.1, 8.4.2, 7.5.1, 7.5.2</w:t>
            </w:r>
          </w:p>
        </w:tc>
        <w:tc>
          <w:tcPr>
            <w:tcW w:w="5309" w:type="dxa"/>
          </w:tcPr>
          <w:p w14:paraId="475BACE1" w14:textId="77777777" w:rsidR="00496343" w:rsidRPr="00F33853" w:rsidRDefault="00496343" w:rsidP="0049634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F33853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Procédure : gestion, l’archivage, la confidentialité, la protection, la mise à jour des enregistrements techniques et qualité</w:t>
            </w:r>
          </w:p>
          <w:p w14:paraId="2304184B" w14:textId="77777777" w:rsidR="00496343" w:rsidRPr="00F33853" w:rsidRDefault="00496343" w:rsidP="00496343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color w:val="000000"/>
                <w:sz w:val="18"/>
                <w:szCs w:val="18"/>
                <w:lang w:val="fr-BE" w:eastAsia="nl-NL"/>
              </w:rPr>
            </w:pPr>
            <w:r w:rsidRPr="00F33853">
              <w:rPr>
                <w:rFonts w:cs="Arial"/>
                <w:color w:val="000000"/>
                <w:sz w:val="18"/>
                <w:szCs w:val="18"/>
                <w:lang w:val="fr-BE" w:eastAsia="nl-NL"/>
              </w:rPr>
              <w:t>Traçabilité, responsabilités, changements</w:t>
            </w:r>
          </w:p>
          <w:p w14:paraId="2E5187AC" w14:textId="6F24C5F1" w:rsidR="0000259C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lastRenderedPageBreak/>
              <w:t>Conservation et environnement approprié</w:t>
            </w:r>
          </w:p>
        </w:tc>
        <w:tc>
          <w:tcPr>
            <w:tcW w:w="1018" w:type="dxa"/>
          </w:tcPr>
          <w:p w14:paraId="08CE9B5E" w14:textId="77777777" w:rsidR="0000259C" w:rsidRPr="00F33853" w:rsidRDefault="0000259C" w:rsidP="00F33853">
            <w:pPr>
              <w:pStyle w:val="Tabelinhoud"/>
              <w:rPr>
                <w:lang w:val="fr-BE"/>
              </w:rPr>
            </w:pPr>
          </w:p>
        </w:tc>
      </w:tr>
    </w:tbl>
    <w:bookmarkEnd w:id="1"/>
    <w:p w14:paraId="711819B4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449F03CE" w14:textId="77777777" w:rsidR="0000259C" w:rsidRPr="00F33853" w:rsidRDefault="0000259C" w:rsidP="0000259C">
      <w:pPr>
        <w:rPr>
          <w:lang w:val="fr-BE"/>
        </w:rPr>
      </w:pPr>
    </w:p>
    <w:p w14:paraId="2361C197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12D5D9C7" w14:textId="77777777" w:rsidR="0000259C" w:rsidRPr="00F33853" w:rsidRDefault="0000259C" w:rsidP="000D7086">
      <w:pPr>
        <w:rPr>
          <w:lang w:val="fr-BE"/>
        </w:rPr>
      </w:pPr>
    </w:p>
    <w:p w14:paraId="6AAB9CEF" w14:textId="48A5567D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4.14: </w:t>
      </w:r>
      <w:r w:rsidRPr="00F33853">
        <w:rPr>
          <w:rFonts w:eastAsia="Calibri"/>
          <w:color w:val="000000"/>
          <w:szCs w:val="24"/>
          <w:lang w:val="fr-BE"/>
        </w:rPr>
        <w:t>Evaluation et audits</w:t>
      </w:r>
    </w:p>
    <w:p w14:paraId="2DCDDC2D" w14:textId="04A3C5C7" w:rsidR="00C92B81" w:rsidRPr="00F33853" w:rsidRDefault="00C92B81" w:rsidP="00604F0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8.5: Actions à mettre en œuvre face aux risques et opportunités (Option A)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8.6: Améliorations (Option A)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8.8: Audits internes (Option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1"/>
        <w:gridCol w:w="5254"/>
        <w:gridCol w:w="1085"/>
      </w:tblGrid>
      <w:tr w:rsidR="00DD2CED" w:rsidRPr="00F33853" w14:paraId="4FFE701A" w14:textId="77777777" w:rsidTr="00496343">
        <w:tc>
          <w:tcPr>
            <w:tcW w:w="2677" w:type="dxa"/>
            <w:gridSpan w:val="2"/>
            <w:vAlign w:val="center"/>
          </w:tcPr>
          <w:p w14:paraId="16964A93" w14:textId="1EA71E1F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4" w:type="dxa"/>
            <w:vMerge w:val="restart"/>
            <w:vAlign w:val="center"/>
          </w:tcPr>
          <w:p w14:paraId="1EB7A6C5" w14:textId="74BB9AE8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0685A458" w14:textId="1C2E773C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24450E9B" w14:textId="77777777" w:rsidTr="00496343">
        <w:tc>
          <w:tcPr>
            <w:tcW w:w="1126" w:type="dxa"/>
            <w:vAlign w:val="center"/>
          </w:tcPr>
          <w:p w14:paraId="6F1F6EC2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  <w:vAlign w:val="center"/>
          </w:tcPr>
          <w:p w14:paraId="23E8F61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4" w:type="dxa"/>
            <w:vMerge/>
          </w:tcPr>
          <w:p w14:paraId="3B35ED0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1ED31E7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364CCCAA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084E1373" w14:textId="79B0E23A" w:rsidR="0000259C" w:rsidRPr="00F33853" w:rsidRDefault="00A06569" w:rsidP="00F33853">
            <w:pPr>
              <w:pStyle w:val="Tabeltitel"/>
            </w:pPr>
            <w:r w:rsidRPr="00F33853">
              <w:t>Evaluation et audits</w:t>
            </w:r>
          </w:p>
        </w:tc>
      </w:tr>
      <w:tr w:rsidR="00496343" w:rsidRPr="00F33853" w14:paraId="7DE29727" w14:textId="77777777" w:rsidTr="00496343">
        <w:tc>
          <w:tcPr>
            <w:tcW w:w="1126" w:type="dxa"/>
            <w:vAlign w:val="center"/>
          </w:tcPr>
          <w:p w14:paraId="3B545DD7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4.14.1</w:t>
            </w:r>
          </w:p>
        </w:tc>
        <w:tc>
          <w:tcPr>
            <w:tcW w:w="1551" w:type="dxa"/>
            <w:vAlign w:val="center"/>
          </w:tcPr>
          <w:p w14:paraId="2EA0D0E8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5254" w:type="dxa"/>
          </w:tcPr>
          <w:p w14:paraId="6A7B18EA" w14:textId="6B82887C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0F77B189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170517CF" w14:textId="77777777" w:rsidTr="00496343">
        <w:tc>
          <w:tcPr>
            <w:tcW w:w="1126" w:type="dxa"/>
            <w:vAlign w:val="center"/>
          </w:tcPr>
          <w:p w14:paraId="78CDB0D2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4.14.2</w:t>
            </w:r>
          </w:p>
        </w:tc>
        <w:tc>
          <w:tcPr>
            <w:tcW w:w="1551" w:type="dxa"/>
            <w:vAlign w:val="center"/>
          </w:tcPr>
          <w:p w14:paraId="060559A9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5254" w:type="dxa"/>
          </w:tcPr>
          <w:p w14:paraId="164D5521" w14:textId="09BAFE3A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Revue périodique des prescriptions, de la pertinence des procédures et exigences concernant les échantillons</w:t>
            </w:r>
          </w:p>
        </w:tc>
        <w:tc>
          <w:tcPr>
            <w:tcW w:w="1085" w:type="dxa"/>
          </w:tcPr>
          <w:p w14:paraId="2FC7975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509FBCB2" w14:textId="77777777" w:rsidTr="00496343">
        <w:tc>
          <w:tcPr>
            <w:tcW w:w="1126" w:type="dxa"/>
            <w:vAlign w:val="center"/>
          </w:tcPr>
          <w:p w14:paraId="396F0CB5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4.14.3</w:t>
            </w:r>
          </w:p>
        </w:tc>
        <w:tc>
          <w:tcPr>
            <w:tcW w:w="1551" w:type="dxa"/>
            <w:vAlign w:val="center"/>
          </w:tcPr>
          <w:p w14:paraId="7447518B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7.1.7, 8.6.2</w:t>
            </w:r>
          </w:p>
        </w:tc>
        <w:tc>
          <w:tcPr>
            <w:tcW w:w="5254" w:type="dxa"/>
          </w:tcPr>
          <w:p w14:paraId="6F1040DF" w14:textId="65B7B03D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Evaluation des retours d’informations de la part des utilisateurs</w:t>
            </w:r>
          </w:p>
        </w:tc>
        <w:tc>
          <w:tcPr>
            <w:tcW w:w="1085" w:type="dxa"/>
          </w:tcPr>
          <w:p w14:paraId="5D95A31F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0DC5A2D8" w14:textId="77777777" w:rsidTr="00496343">
        <w:tc>
          <w:tcPr>
            <w:tcW w:w="1126" w:type="dxa"/>
            <w:vAlign w:val="center"/>
          </w:tcPr>
          <w:p w14:paraId="1B16C9BD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4.14.4</w:t>
            </w:r>
          </w:p>
        </w:tc>
        <w:tc>
          <w:tcPr>
            <w:tcW w:w="1551" w:type="dxa"/>
            <w:vAlign w:val="center"/>
          </w:tcPr>
          <w:p w14:paraId="54461FAA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8.6.1</w:t>
            </w:r>
          </w:p>
        </w:tc>
        <w:tc>
          <w:tcPr>
            <w:tcW w:w="5254" w:type="dxa"/>
          </w:tcPr>
          <w:p w14:paraId="2139ABF4" w14:textId="52F104B4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Suggestions du personnel</w:t>
            </w:r>
          </w:p>
        </w:tc>
        <w:tc>
          <w:tcPr>
            <w:tcW w:w="1085" w:type="dxa"/>
          </w:tcPr>
          <w:p w14:paraId="3C867866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3716420B" w14:textId="77777777" w:rsidTr="00496343">
        <w:tc>
          <w:tcPr>
            <w:tcW w:w="1126" w:type="dxa"/>
            <w:vAlign w:val="center"/>
          </w:tcPr>
          <w:p w14:paraId="7204FE60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4.14.5</w:t>
            </w:r>
          </w:p>
        </w:tc>
        <w:tc>
          <w:tcPr>
            <w:tcW w:w="1551" w:type="dxa"/>
            <w:vAlign w:val="center"/>
          </w:tcPr>
          <w:p w14:paraId="449F94C6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8.8.1, 8.8.2</w:t>
            </w:r>
          </w:p>
        </w:tc>
        <w:tc>
          <w:tcPr>
            <w:tcW w:w="5254" w:type="dxa"/>
          </w:tcPr>
          <w:p w14:paraId="391B38FC" w14:textId="034E407D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Audit interne</w:t>
            </w:r>
          </w:p>
        </w:tc>
        <w:tc>
          <w:tcPr>
            <w:tcW w:w="1085" w:type="dxa"/>
          </w:tcPr>
          <w:p w14:paraId="6465F935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25002C2F" w14:textId="77777777" w:rsidTr="00496343">
        <w:tc>
          <w:tcPr>
            <w:tcW w:w="1126" w:type="dxa"/>
            <w:vAlign w:val="center"/>
          </w:tcPr>
          <w:p w14:paraId="6BF06707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4.14.6</w:t>
            </w:r>
          </w:p>
        </w:tc>
        <w:tc>
          <w:tcPr>
            <w:tcW w:w="1551" w:type="dxa"/>
            <w:vAlign w:val="center"/>
          </w:tcPr>
          <w:p w14:paraId="00AD58E1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8.5.1, 8.5.2, 8.5.3</w:t>
            </w:r>
          </w:p>
        </w:tc>
        <w:tc>
          <w:tcPr>
            <w:tcW w:w="5254" w:type="dxa"/>
          </w:tcPr>
          <w:p w14:paraId="1537616B" w14:textId="6C0CBFBE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Gestions des risques</w:t>
            </w:r>
          </w:p>
        </w:tc>
        <w:tc>
          <w:tcPr>
            <w:tcW w:w="1085" w:type="dxa"/>
          </w:tcPr>
          <w:p w14:paraId="08A109C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7970C1F7" w14:textId="77777777" w:rsidTr="00496343">
        <w:tc>
          <w:tcPr>
            <w:tcW w:w="1126" w:type="dxa"/>
            <w:vAlign w:val="center"/>
          </w:tcPr>
          <w:p w14:paraId="12ABDAF6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4.14.7</w:t>
            </w:r>
          </w:p>
        </w:tc>
        <w:tc>
          <w:tcPr>
            <w:tcW w:w="1551" w:type="dxa"/>
            <w:vAlign w:val="center"/>
          </w:tcPr>
          <w:p w14:paraId="65FBBCF6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4" w:type="dxa"/>
          </w:tcPr>
          <w:p w14:paraId="058D044C" w14:textId="4024CF0B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Indicateurs qualité</w:t>
            </w:r>
          </w:p>
        </w:tc>
        <w:tc>
          <w:tcPr>
            <w:tcW w:w="1085" w:type="dxa"/>
          </w:tcPr>
          <w:p w14:paraId="0DEA8804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1B2100D3" w14:textId="77777777" w:rsidTr="00496343">
        <w:tc>
          <w:tcPr>
            <w:tcW w:w="1126" w:type="dxa"/>
            <w:vAlign w:val="center"/>
          </w:tcPr>
          <w:p w14:paraId="75CE09A1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4.14.8</w:t>
            </w:r>
          </w:p>
        </w:tc>
        <w:tc>
          <w:tcPr>
            <w:tcW w:w="1551" w:type="dxa"/>
            <w:vAlign w:val="center"/>
          </w:tcPr>
          <w:p w14:paraId="7C544AB7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4" w:type="dxa"/>
          </w:tcPr>
          <w:p w14:paraId="48C3379B" w14:textId="5F279C81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Revues par des organisations externes</w:t>
            </w:r>
          </w:p>
        </w:tc>
        <w:tc>
          <w:tcPr>
            <w:tcW w:w="1085" w:type="dxa"/>
          </w:tcPr>
          <w:p w14:paraId="04390928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</w:tbl>
    <w:p w14:paraId="4CE18BEF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03C22C71" w14:textId="77777777" w:rsidR="0000259C" w:rsidRPr="00F33853" w:rsidRDefault="0000259C" w:rsidP="0000259C">
      <w:pPr>
        <w:rPr>
          <w:lang w:val="fr-BE"/>
        </w:rPr>
      </w:pPr>
    </w:p>
    <w:p w14:paraId="4B2F8BA5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7F2DFAAA" w14:textId="77777777" w:rsidR="0000259C" w:rsidRPr="00F33853" w:rsidRDefault="0000259C" w:rsidP="000D7086">
      <w:pPr>
        <w:rPr>
          <w:lang w:val="fr-BE"/>
        </w:rPr>
      </w:pPr>
    </w:p>
    <w:p w14:paraId="34893DA4" w14:textId="6974F5FF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4.15 : </w:t>
      </w:r>
      <w:r w:rsidRPr="00F33853">
        <w:rPr>
          <w:rFonts w:eastAsia="Calibri"/>
          <w:color w:val="000000"/>
          <w:szCs w:val="24"/>
          <w:lang w:val="fr-BE"/>
        </w:rPr>
        <w:t>Revue de direction</w:t>
      </w:r>
      <w:r w:rsidRPr="00F33853">
        <w:rPr>
          <w:lang w:val="fr-BE"/>
        </w:rPr>
        <w:t xml:space="preserve"> </w:t>
      </w:r>
    </w:p>
    <w:p w14:paraId="4BFB0D3C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8.9: Revues de direction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1"/>
        <w:gridCol w:w="5255"/>
        <w:gridCol w:w="1085"/>
      </w:tblGrid>
      <w:tr w:rsidR="00DD2CED" w:rsidRPr="00F33853" w14:paraId="08F5E1F2" w14:textId="77777777" w:rsidTr="00496343">
        <w:tc>
          <w:tcPr>
            <w:tcW w:w="2676" w:type="dxa"/>
            <w:gridSpan w:val="2"/>
            <w:vAlign w:val="center"/>
          </w:tcPr>
          <w:p w14:paraId="58733F26" w14:textId="65C0D7F5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584A6E7F" w14:textId="4B9CB9B9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3A7DD8E0" w14:textId="1712739D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53734183" w14:textId="77777777" w:rsidTr="00496343">
        <w:tc>
          <w:tcPr>
            <w:tcW w:w="1125" w:type="dxa"/>
            <w:vAlign w:val="center"/>
          </w:tcPr>
          <w:p w14:paraId="5BE9A8D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  <w:vAlign w:val="center"/>
          </w:tcPr>
          <w:p w14:paraId="2DFF85E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5" w:type="dxa"/>
            <w:vMerge/>
          </w:tcPr>
          <w:p w14:paraId="3EC1503A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192FA254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65AF4E39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07A525FF" w14:textId="71868515" w:rsidR="0000259C" w:rsidRPr="00F33853" w:rsidRDefault="00A06569" w:rsidP="00F33853">
            <w:pPr>
              <w:pStyle w:val="Tabeltitel"/>
            </w:pPr>
            <w:bookmarkStart w:id="2" w:name="_Hlk95397071"/>
            <w:r w:rsidRPr="00F33853">
              <w:t xml:space="preserve">Revue de </w:t>
            </w:r>
            <w:proofErr w:type="spellStart"/>
            <w:r w:rsidRPr="00F33853">
              <w:t>direction</w:t>
            </w:r>
            <w:proofErr w:type="spellEnd"/>
          </w:p>
        </w:tc>
      </w:tr>
      <w:bookmarkEnd w:id="2"/>
      <w:tr w:rsidR="00496343" w:rsidRPr="00F33853" w14:paraId="6D9DA6F1" w14:textId="77777777" w:rsidTr="00496343">
        <w:tc>
          <w:tcPr>
            <w:tcW w:w="1125" w:type="dxa"/>
          </w:tcPr>
          <w:p w14:paraId="1158CF74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4.15.1</w:t>
            </w:r>
          </w:p>
        </w:tc>
        <w:tc>
          <w:tcPr>
            <w:tcW w:w="1551" w:type="dxa"/>
            <w:vAlign w:val="center"/>
          </w:tcPr>
          <w:p w14:paraId="171B5A74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8.9.1</w:t>
            </w:r>
          </w:p>
        </w:tc>
        <w:tc>
          <w:tcPr>
            <w:tcW w:w="5255" w:type="dxa"/>
          </w:tcPr>
          <w:p w14:paraId="0F69C84B" w14:textId="42511AB9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6835A8E7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0610B3E2" w14:textId="77777777" w:rsidTr="00496343">
        <w:tc>
          <w:tcPr>
            <w:tcW w:w="1125" w:type="dxa"/>
          </w:tcPr>
          <w:p w14:paraId="541A638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4.15.2</w:t>
            </w:r>
          </w:p>
        </w:tc>
        <w:tc>
          <w:tcPr>
            <w:tcW w:w="1551" w:type="dxa"/>
            <w:vAlign w:val="center"/>
          </w:tcPr>
          <w:p w14:paraId="13686B17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8.9.2</w:t>
            </w:r>
          </w:p>
        </w:tc>
        <w:tc>
          <w:tcPr>
            <w:tcW w:w="5255" w:type="dxa"/>
          </w:tcPr>
          <w:p w14:paraId="27E1044F" w14:textId="3C7B0486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Eléments d’entrée de la revue</w:t>
            </w:r>
          </w:p>
        </w:tc>
        <w:tc>
          <w:tcPr>
            <w:tcW w:w="1085" w:type="dxa"/>
          </w:tcPr>
          <w:p w14:paraId="7E6F11F4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17374228" w14:textId="77777777" w:rsidTr="00496343">
        <w:tc>
          <w:tcPr>
            <w:tcW w:w="1125" w:type="dxa"/>
          </w:tcPr>
          <w:p w14:paraId="49D18A7E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4.15.3</w:t>
            </w:r>
          </w:p>
        </w:tc>
        <w:tc>
          <w:tcPr>
            <w:tcW w:w="1551" w:type="dxa"/>
            <w:vAlign w:val="center"/>
          </w:tcPr>
          <w:p w14:paraId="06BACFC1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8.9.3</w:t>
            </w:r>
          </w:p>
        </w:tc>
        <w:tc>
          <w:tcPr>
            <w:tcW w:w="5255" w:type="dxa"/>
          </w:tcPr>
          <w:p w14:paraId="47C0D9A2" w14:textId="56694FEF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Activités de revue</w:t>
            </w:r>
          </w:p>
        </w:tc>
        <w:tc>
          <w:tcPr>
            <w:tcW w:w="1085" w:type="dxa"/>
          </w:tcPr>
          <w:p w14:paraId="4C69F05F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47FF8BA4" w14:textId="77777777" w:rsidTr="00496343">
        <w:tc>
          <w:tcPr>
            <w:tcW w:w="1125" w:type="dxa"/>
          </w:tcPr>
          <w:p w14:paraId="3DF1C39C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4.15.4</w:t>
            </w:r>
          </w:p>
        </w:tc>
        <w:tc>
          <w:tcPr>
            <w:tcW w:w="1551" w:type="dxa"/>
            <w:vAlign w:val="center"/>
          </w:tcPr>
          <w:p w14:paraId="7EEA11A8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8.9.3</w:t>
            </w:r>
          </w:p>
        </w:tc>
        <w:tc>
          <w:tcPr>
            <w:tcW w:w="5255" w:type="dxa"/>
          </w:tcPr>
          <w:p w14:paraId="74B46000" w14:textId="212C7A10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Eléments de sortie de la revue</w:t>
            </w:r>
          </w:p>
        </w:tc>
        <w:tc>
          <w:tcPr>
            <w:tcW w:w="1085" w:type="dxa"/>
          </w:tcPr>
          <w:p w14:paraId="46D3D78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</w:tbl>
    <w:p w14:paraId="401AD937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10BEACB" w14:textId="77777777" w:rsidR="0000259C" w:rsidRPr="00F33853" w:rsidRDefault="0000259C" w:rsidP="0000259C">
      <w:pPr>
        <w:rPr>
          <w:lang w:val="fr-BE"/>
        </w:rPr>
      </w:pPr>
    </w:p>
    <w:p w14:paraId="213B6974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57CB3B5E" w14:textId="77777777" w:rsidR="0000259C" w:rsidRPr="00F33853" w:rsidRDefault="0000259C" w:rsidP="00944B4A">
      <w:pPr>
        <w:rPr>
          <w:lang w:val="fr-BE"/>
        </w:rPr>
      </w:pPr>
    </w:p>
    <w:p w14:paraId="10DE0C25" w14:textId="07B7A253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5.1: </w:t>
      </w:r>
      <w:r w:rsidRPr="00F33853">
        <w:rPr>
          <w:spacing w:val="-3"/>
          <w:lang w:val="fr-BE"/>
        </w:rPr>
        <w:t>Personnel</w:t>
      </w:r>
      <w:r w:rsidRPr="00F33853">
        <w:rPr>
          <w:lang w:val="fr-BE"/>
        </w:rPr>
        <w:t xml:space="preserve"> </w:t>
      </w:r>
    </w:p>
    <w:p w14:paraId="51706F0D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6.2: Personnel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49"/>
        <w:gridCol w:w="5259"/>
        <w:gridCol w:w="1085"/>
      </w:tblGrid>
      <w:tr w:rsidR="00DD2CED" w:rsidRPr="00F33853" w14:paraId="66B05711" w14:textId="77777777" w:rsidTr="00496343">
        <w:tc>
          <w:tcPr>
            <w:tcW w:w="2672" w:type="dxa"/>
            <w:gridSpan w:val="2"/>
            <w:vAlign w:val="center"/>
          </w:tcPr>
          <w:p w14:paraId="3D823181" w14:textId="5A0138F0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9" w:type="dxa"/>
            <w:vMerge w:val="restart"/>
            <w:vAlign w:val="center"/>
          </w:tcPr>
          <w:p w14:paraId="46B1ECB7" w14:textId="387D449E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32D313EE" w14:textId="74C85468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1CFD064B" w14:textId="77777777" w:rsidTr="00496343">
        <w:tc>
          <w:tcPr>
            <w:tcW w:w="1123" w:type="dxa"/>
            <w:vAlign w:val="center"/>
          </w:tcPr>
          <w:p w14:paraId="16091D91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49" w:type="dxa"/>
            <w:vAlign w:val="center"/>
          </w:tcPr>
          <w:p w14:paraId="76BFF6D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9" w:type="dxa"/>
            <w:vMerge/>
          </w:tcPr>
          <w:p w14:paraId="3D6DE55C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3C04BE15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0F15FCE5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31E73CD8" w14:textId="45F42862" w:rsidR="0000259C" w:rsidRPr="00F33853" w:rsidRDefault="0000259C" w:rsidP="00F33853">
            <w:pPr>
              <w:pStyle w:val="Tabeltitel"/>
            </w:pPr>
            <w:proofErr w:type="spellStart"/>
            <w:r w:rsidRPr="00F33853">
              <w:t>Person</w:t>
            </w:r>
            <w:r w:rsidR="00A06569" w:rsidRPr="00F33853">
              <w:t>n</w:t>
            </w:r>
            <w:r w:rsidRPr="00F33853">
              <w:t>el</w:t>
            </w:r>
            <w:proofErr w:type="spellEnd"/>
          </w:p>
        </w:tc>
      </w:tr>
      <w:tr w:rsidR="00496343" w:rsidRPr="00F33853" w14:paraId="7D0E1666" w14:textId="77777777" w:rsidTr="00496343">
        <w:tc>
          <w:tcPr>
            <w:tcW w:w="1123" w:type="dxa"/>
          </w:tcPr>
          <w:p w14:paraId="5993892C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5.1.1</w:t>
            </w:r>
          </w:p>
        </w:tc>
        <w:tc>
          <w:tcPr>
            <w:tcW w:w="1549" w:type="dxa"/>
            <w:vAlign w:val="center"/>
          </w:tcPr>
          <w:p w14:paraId="0C024EBB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6.2.5, 6.1</w:t>
            </w:r>
          </w:p>
        </w:tc>
        <w:tc>
          <w:tcPr>
            <w:tcW w:w="5259" w:type="dxa"/>
          </w:tcPr>
          <w:p w14:paraId="4F930512" w14:textId="0962C5F1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563652AA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58674109" w14:textId="77777777" w:rsidTr="00496343">
        <w:tc>
          <w:tcPr>
            <w:tcW w:w="1123" w:type="dxa"/>
          </w:tcPr>
          <w:p w14:paraId="207E54AC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5.1.2</w:t>
            </w:r>
          </w:p>
        </w:tc>
        <w:tc>
          <w:tcPr>
            <w:tcW w:w="1549" w:type="dxa"/>
            <w:vAlign w:val="center"/>
          </w:tcPr>
          <w:p w14:paraId="298309A7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6.2.2</w:t>
            </w:r>
          </w:p>
        </w:tc>
        <w:tc>
          <w:tcPr>
            <w:tcW w:w="5259" w:type="dxa"/>
          </w:tcPr>
          <w:p w14:paraId="231603DE" w14:textId="2D5072A9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Qualifications du personnel</w:t>
            </w:r>
          </w:p>
        </w:tc>
        <w:tc>
          <w:tcPr>
            <w:tcW w:w="1085" w:type="dxa"/>
          </w:tcPr>
          <w:p w14:paraId="1E9F17F8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7CD61498" w14:textId="77777777" w:rsidTr="00496343">
        <w:tc>
          <w:tcPr>
            <w:tcW w:w="1123" w:type="dxa"/>
          </w:tcPr>
          <w:p w14:paraId="0C36DC1A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lastRenderedPageBreak/>
              <w:t>5.1.3</w:t>
            </w:r>
          </w:p>
        </w:tc>
        <w:tc>
          <w:tcPr>
            <w:tcW w:w="1549" w:type="dxa"/>
            <w:vAlign w:val="center"/>
          </w:tcPr>
          <w:p w14:paraId="2FA67F27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6.2.4</w:t>
            </w:r>
          </w:p>
        </w:tc>
        <w:tc>
          <w:tcPr>
            <w:tcW w:w="5259" w:type="dxa"/>
          </w:tcPr>
          <w:p w14:paraId="2168CD5E" w14:textId="024B9B82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Définitions de fonctions</w:t>
            </w:r>
          </w:p>
        </w:tc>
        <w:tc>
          <w:tcPr>
            <w:tcW w:w="1085" w:type="dxa"/>
          </w:tcPr>
          <w:p w14:paraId="4C9B4C97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629EFED1" w14:textId="77777777" w:rsidTr="00496343">
        <w:tc>
          <w:tcPr>
            <w:tcW w:w="1123" w:type="dxa"/>
          </w:tcPr>
          <w:p w14:paraId="3BE0FFF5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5.1.4</w:t>
            </w:r>
          </w:p>
        </w:tc>
        <w:tc>
          <w:tcPr>
            <w:tcW w:w="1549" w:type="dxa"/>
            <w:vAlign w:val="center"/>
          </w:tcPr>
          <w:p w14:paraId="41C833D8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9" w:type="dxa"/>
          </w:tcPr>
          <w:p w14:paraId="3879B724" w14:textId="29998319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Accueil du personnel dans l’environnement organisationnel</w:t>
            </w:r>
          </w:p>
        </w:tc>
        <w:tc>
          <w:tcPr>
            <w:tcW w:w="1085" w:type="dxa"/>
          </w:tcPr>
          <w:p w14:paraId="3073B978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66C99F44" w14:textId="77777777" w:rsidTr="00496343">
        <w:tc>
          <w:tcPr>
            <w:tcW w:w="1123" w:type="dxa"/>
          </w:tcPr>
          <w:p w14:paraId="08A28A0C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5.1.5</w:t>
            </w:r>
          </w:p>
        </w:tc>
        <w:tc>
          <w:tcPr>
            <w:tcW w:w="1549" w:type="dxa"/>
            <w:vAlign w:val="center"/>
          </w:tcPr>
          <w:p w14:paraId="5E9693F9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6.2.2, 6.2.5c, 6.2.3</w:t>
            </w:r>
          </w:p>
        </w:tc>
        <w:tc>
          <w:tcPr>
            <w:tcW w:w="5259" w:type="dxa"/>
          </w:tcPr>
          <w:p w14:paraId="51B79857" w14:textId="01472AC2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Formation</w:t>
            </w:r>
          </w:p>
        </w:tc>
        <w:tc>
          <w:tcPr>
            <w:tcW w:w="1085" w:type="dxa"/>
          </w:tcPr>
          <w:p w14:paraId="0B5C1621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15970B7D" w14:textId="77777777" w:rsidTr="00496343">
        <w:tc>
          <w:tcPr>
            <w:tcW w:w="1123" w:type="dxa"/>
          </w:tcPr>
          <w:p w14:paraId="5FEFE525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5.1.6</w:t>
            </w:r>
          </w:p>
        </w:tc>
        <w:tc>
          <w:tcPr>
            <w:tcW w:w="1549" w:type="dxa"/>
            <w:vAlign w:val="center"/>
          </w:tcPr>
          <w:p w14:paraId="1136966F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6.2.2, 6.2.3, 6.2.5 a, f</w:t>
            </w:r>
          </w:p>
        </w:tc>
        <w:tc>
          <w:tcPr>
            <w:tcW w:w="5259" w:type="dxa"/>
          </w:tcPr>
          <w:p w14:paraId="7635D991" w14:textId="22400256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Evaluation de la compétence</w:t>
            </w:r>
          </w:p>
        </w:tc>
        <w:tc>
          <w:tcPr>
            <w:tcW w:w="1085" w:type="dxa"/>
          </w:tcPr>
          <w:p w14:paraId="0AE88731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40541635" w14:textId="77777777" w:rsidTr="00496343">
        <w:tc>
          <w:tcPr>
            <w:tcW w:w="1123" w:type="dxa"/>
          </w:tcPr>
          <w:p w14:paraId="5EA08616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5.1.7</w:t>
            </w:r>
          </w:p>
        </w:tc>
        <w:tc>
          <w:tcPr>
            <w:tcW w:w="1549" w:type="dxa"/>
            <w:vAlign w:val="center"/>
          </w:tcPr>
          <w:p w14:paraId="4F44E55D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9" w:type="dxa"/>
          </w:tcPr>
          <w:p w14:paraId="212005CA" w14:textId="6464F52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Revue des performances du personnel</w:t>
            </w:r>
          </w:p>
        </w:tc>
        <w:tc>
          <w:tcPr>
            <w:tcW w:w="1085" w:type="dxa"/>
          </w:tcPr>
          <w:p w14:paraId="648AEA86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1006C214" w14:textId="77777777" w:rsidTr="00496343">
        <w:tc>
          <w:tcPr>
            <w:tcW w:w="1123" w:type="dxa"/>
          </w:tcPr>
          <w:p w14:paraId="74E4CEEF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5.1.8</w:t>
            </w:r>
          </w:p>
        </w:tc>
        <w:tc>
          <w:tcPr>
            <w:tcW w:w="1549" w:type="dxa"/>
            <w:vAlign w:val="center"/>
          </w:tcPr>
          <w:p w14:paraId="08E3A54F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9" w:type="dxa"/>
          </w:tcPr>
          <w:p w14:paraId="20496C31" w14:textId="60675E7B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Formation continue et développement professionnel</w:t>
            </w:r>
          </w:p>
        </w:tc>
        <w:tc>
          <w:tcPr>
            <w:tcW w:w="1085" w:type="dxa"/>
          </w:tcPr>
          <w:p w14:paraId="3BC858E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42817C5E" w14:textId="77777777" w:rsidTr="00496343">
        <w:tc>
          <w:tcPr>
            <w:tcW w:w="1123" w:type="dxa"/>
          </w:tcPr>
          <w:p w14:paraId="6E5022EC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5.1.9</w:t>
            </w:r>
          </w:p>
        </w:tc>
        <w:tc>
          <w:tcPr>
            <w:tcW w:w="1549" w:type="dxa"/>
            <w:vAlign w:val="center"/>
          </w:tcPr>
          <w:p w14:paraId="1358B7A4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6.2.5</w:t>
            </w:r>
          </w:p>
        </w:tc>
        <w:tc>
          <w:tcPr>
            <w:tcW w:w="5259" w:type="dxa"/>
          </w:tcPr>
          <w:p w14:paraId="4D89C473" w14:textId="3DCE1B93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Enregistrements relatifs au personnel</w:t>
            </w:r>
          </w:p>
        </w:tc>
        <w:tc>
          <w:tcPr>
            <w:tcW w:w="1085" w:type="dxa"/>
          </w:tcPr>
          <w:p w14:paraId="3942609F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4E5B71FC" w14:textId="77777777" w:rsidTr="00496343">
        <w:tc>
          <w:tcPr>
            <w:tcW w:w="1123" w:type="dxa"/>
          </w:tcPr>
          <w:p w14:paraId="7C8CFC5C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49" w:type="dxa"/>
            <w:vAlign w:val="center"/>
          </w:tcPr>
          <w:p w14:paraId="47BA49EF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6.2.1</w:t>
            </w:r>
          </w:p>
        </w:tc>
        <w:tc>
          <w:tcPr>
            <w:tcW w:w="5259" w:type="dxa"/>
          </w:tcPr>
          <w:p w14:paraId="50B3410C" w14:textId="6B944CCC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 xml:space="preserve">Le personnel agit de manière impartiale, est compétent et travaille conformément au système de management </w:t>
            </w:r>
          </w:p>
        </w:tc>
        <w:tc>
          <w:tcPr>
            <w:tcW w:w="1085" w:type="dxa"/>
          </w:tcPr>
          <w:p w14:paraId="07D3406E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598D4283" w14:textId="77777777" w:rsidTr="00496343">
        <w:tc>
          <w:tcPr>
            <w:tcW w:w="1123" w:type="dxa"/>
          </w:tcPr>
          <w:p w14:paraId="2530A8F7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49" w:type="dxa"/>
            <w:vAlign w:val="center"/>
          </w:tcPr>
          <w:p w14:paraId="56CECC18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6.2.6</w:t>
            </w:r>
          </w:p>
        </w:tc>
        <w:tc>
          <w:tcPr>
            <w:tcW w:w="5259" w:type="dxa"/>
          </w:tcPr>
          <w:p w14:paraId="56788FAE" w14:textId="33531D4E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Le laboratoire autorise le personnel à exécuter des activités de laboratoire spécifiques</w:t>
            </w:r>
          </w:p>
        </w:tc>
        <w:tc>
          <w:tcPr>
            <w:tcW w:w="1085" w:type="dxa"/>
          </w:tcPr>
          <w:p w14:paraId="6A2CF3AE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27A26D42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1D463CD1" w14:textId="77777777" w:rsidR="0000259C" w:rsidRPr="00F33853" w:rsidRDefault="0000259C" w:rsidP="0000259C">
      <w:pPr>
        <w:rPr>
          <w:lang w:val="fr-BE"/>
        </w:rPr>
      </w:pPr>
    </w:p>
    <w:p w14:paraId="2A97EE7A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4BEF6687" w14:textId="77777777" w:rsidR="0000259C" w:rsidRPr="00F33853" w:rsidRDefault="0000259C" w:rsidP="000D7086">
      <w:pPr>
        <w:rPr>
          <w:lang w:val="fr-BE"/>
        </w:rPr>
      </w:pPr>
    </w:p>
    <w:p w14:paraId="11BE709A" w14:textId="2DF33EA7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5.2: Locaux et conditions environnementales</w:t>
      </w:r>
    </w:p>
    <w:p w14:paraId="52408522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6.3: Installations et conditions ambiantes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51"/>
        <w:gridCol w:w="5256"/>
        <w:gridCol w:w="1085"/>
      </w:tblGrid>
      <w:tr w:rsidR="00DD2CED" w:rsidRPr="00F33853" w14:paraId="6064156D" w14:textId="77777777" w:rsidTr="00496343">
        <w:tc>
          <w:tcPr>
            <w:tcW w:w="2675" w:type="dxa"/>
            <w:gridSpan w:val="2"/>
            <w:vAlign w:val="center"/>
          </w:tcPr>
          <w:p w14:paraId="77E6D3A1" w14:textId="16BA851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6" w:type="dxa"/>
            <w:vMerge w:val="restart"/>
            <w:vAlign w:val="center"/>
          </w:tcPr>
          <w:p w14:paraId="6D51B794" w14:textId="10B52A75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72FC9EC6" w14:textId="29FB6C25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612EE1AA" w14:textId="77777777" w:rsidTr="00496343">
        <w:tc>
          <w:tcPr>
            <w:tcW w:w="1124" w:type="dxa"/>
            <w:vAlign w:val="center"/>
          </w:tcPr>
          <w:p w14:paraId="7A96EE6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  <w:vAlign w:val="center"/>
          </w:tcPr>
          <w:p w14:paraId="0B44F6A2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6" w:type="dxa"/>
            <w:vMerge/>
          </w:tcPr>
          <w:p w14:paraId="6FB6593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4189DEA3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7253237C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5E94176A" w14:textId="1C64B3D1" w:rsidR="0000259C" w:rsidRPr="00F33853" w:rsidRDefault="00A06569" w:rsidP="00F33853">
            <w:pPr>
              <w:pStyle w:val="Tabeltitel"/>
            </w:pPr>
            <w:proofErr w:type="spellStart"/>
            <w:r w:rsidRPr="00F33853">
              <w:t>Locaux</w:t>
            </w:r>
            <w:proofErr w:type="spellEnd"/>
            <w:r w:rsidRPr="00F33853">
              <w:t xml:space="preserve"> et </w:t>
            </w:r>
            <w:proofErr w:type="spellStart"/>
            <w:r w:rsidRPr="00F33853">
              <w:t>conditions</w:t>
            </w:r>
            <w:proofErr w:type="spellEnd"/>
            <w:r w:rsidRPr="00F33853">
              <w:t xml:space="preserve"> </w:t>
            </w:r>
            <w:proofErr w:type="spellStart"/>
            <w:r w:rsidRPr="00F33853">
              <w:t>environnementales</w:t>
            </w:r>
            <w:proofErr w:type="spellEnd"/>
          </w:p>
        </w:tc>
      </w:tr>
      <w:tr w:rsidR="00496343" w:rsidRPr="00F33853" w14:paraId="6FE8AF48" w14:textId="77777777" w:rsidTr="00496343">
        <w:tc>
          <w:tcPr>
            <w:tcW w:w="1124" w:type="dxa"/>
            <w:vAlign w:val="center"/>
          </w:tcPr>
          <w:p w14:paraId="7A852E0D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5.2.1</w:t>
            </w:r>
          </w:p>
        </w:tc>
        <w:tc>
          <w:tcPr>
            <w:tcW w:w="1551" w:type="dxa"/>
            <w:vAlign w:val="center"/>
          </w:tcPr>
          <w:p w14:paraId="6244990A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6.1, 6.3.1</w:t>
            </w:r>
          </w:p>
        </w:tc>
        <w:tc>
          <w:tcPr>
            <w:tcW w:w="5256" w:type="dxa"/>
          </w:tcPr>
          <w:p w14:paraId="7CAFF942" w14:textId="03E49E2B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05FA570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4CAC7F7A" w14:textId="77777777" w:rsidTr="00496343">
        <w:tc>
          <w:tcPr>
            <w:tcW w:w="1124" w:type="dxa"/>
            <w:vAlign w:val="center"/>
          </w:tcPr>
          <w:p w14:paraId="4C9948E7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5.2.2</w:t>
            </w:r>
          </w:p>
        </w:tc>
        <w:tc>
          <w:tcPr>
            <w:tcW w:w="1551" w:type="dxa"/>
            <w:vAlign w:val="center"/>
          </w:tcPr>
          <w:p w14:paraId="2F8EA78D" w14:textId="77777777" w:rsidR="00496343" w:rsidRPr="00F33853" w:rsidRDefault="00496343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6.3.1, 6.3.2, 6.3.4a</w:t>
            </w:r>
          </w:p>
        </w:tc>
        <w:tc>
          <w:tcPr>
            <w:tcW w:w="5256" w:type="dxa"/>
          </w:tcPr>
          <w:p w14:paraId="0EBE99B4" w14:textId="74948ADF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Laboratoires et bureaux</w:t>
            </w:r>
          </w:p>
        </w:tc>
        <w:tc>
          <w:tcPr>
            <w:tcW w:w="1085" w:type="dxa"/>
          </w:tcPr>
          <w:p w14:paraId="411B3AD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1BB84869" w14:textId="77777777" w:rsidTr="00496343">
        <w:tc>
          <w:tcPr>
            <w:tcW w:w="1124" w:type="dxa"/>
            <w:vAlign w:val="center"/>
          </w:tcPr>
          <w:p w14:paraId="10A34876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5.2.3</w:t>
            </w:r>
          </w:p>
        </w:tc>
        <w:tc>
          <w:tcPr>
            <w:tcW w:w="1551" w:type="dxa"/>
            <w:vAlign w:val="center"/>
          </w:tcPr>
          <w:p w14:paraId="631F81E0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6" w:type="dxa"/>
          </w:tcPr>
          <w:p w14:paraId="4AC65241" w14:textId="01A07025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Locaux de stockage</w:t>
            </w:r>
          </w:p>
        </w:tc>
        <w:tc>
          <w:tcPr>
            <w:tcW w:w="1085" w:type="dxa"/>
          </w:tcPr>
          <w:p w14:paraId="354E6653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F33853" w14:paraId="6131969D" w14:textId="77777777" w:rsidTr="00496343">
        <w:tc>
          <w:tcPr>
            <w:tcW w:w="1124" w:type="dxa"/>
            <w:vAlign w:val="center"/>
          </w:tcPr>
          <w:p w14:paraId="07BE97D9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5.2.4</w:t>
            </w:r>
          </w:p>
        </w:tc>
        <w:tc>
          <w:tcPr>
            <w:tcW w:w="1551" w:type="dxa"/>
            <w:vAlign w:val="center"/>
          </w:tcPr>
          <w:p w14:paraId="35D4200C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6" w:type="dxa"/>
          </w:tcPr>
          <w:p w14:paraId="25DE3963" w14:textId="02FAFAE9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Locaux du personnel</w:t>
            </w:r>
          </w:p>
        </w:tc>
        <w:tc>
          <w:tcPr>
            <w:tcW w:w="1085" w:type="dxa"/>
          </w:tcPr>
          <w:p w14:paraId="594C5A50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2DDD2AE4" w14:textId="77777777" w:rsidTr="00496343">
        <w:tc>
          <w:tcPr>
            <w:tcW w:w="1124" w:type="dxa"/>
            <w:vAlign w:val="center"/>
          </w:tcPr>
          <w:p w14:paraId="466BDFEC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5.2.5</w:t>
            </w:r>
          </w:p>
        </w:tc>
        <w:tc>
          <w:tcPr>
            <w:tcW w:w="1551" w:type="dxa"/>
            <w:vAlign w:val="center"/>
          </w:tcPr>
          <w:p w14:paraId="337A473D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6" w:type="dxa"/>
          </w:tcPr>
          <w:p w14:paraId="750BB537" w14:textId="71786A59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Locaux de prélèvement d’échantillons des patients</w:t>
            </w:r>
          </w:p>
        </w:tc>
        <w:tc>
          <w:tcPr>
            <w:tcW w:w="1085" w:type="dxa"/>
          </w:tcPr>
          <w:p w14:paraId="5D33F8D0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496343" w:rsidRPr="00EA68B9" w14:paraId="3F90DC85" w14:textId="77777777" w:rsidTr="00496343">
        <w:tc>
          <w:tcPr>
            <w:tcW w:w="1124" w:type="dxa"/>
            <w:vAlign w:val="center"/>
          </w:tcPr>
          <w:p w14:paraId="18C332D0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5.2.6</w:t>
            </w:r>
          </w:p>
        </w:tc>
        <w:tc>
          <w:tcPr>
            <w:tcW w:w="1551" w:type="dxa"/>
            <w:vAlign w:val="center"/>
          </w:tcPr>
          <w:p w14:paraId="13812211" w14:textId="77777777" w:rsidR="00496343" w:rsidRPr="00F33853" w:rsidRDefault="00496343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6.3.2, 6.3.3, 6.3.4c</w:t>
            </w:r>
          </w:p>
        </w:tc>
        <w:tc>
          <w:tcPr>
            <w:tcW w:w="5256" w:type="dxa"/>
          </w:tcPr>
          <w:p w14:paraId="5C04AB1C" w14:textId="3394DC64" w:rsidR="00496343" w:rsidRPr="00F33853" w:rsidRDefault="00496343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Entretien des locaux et conditions environnementales</w:t>
            </w:r>
          </w:p>
        </w:tc>
        <w:tc>
          <w:tcPr>
            <w:tcW w:w="1085" w:type="dxa"/>
          </w:tcPr>
          <w:p w14:paraId="3A252F35" w14:textId="77777777" w:rsidR="00496343" w:rsidRPr="00F33853" w:rsidRDefault="00496343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357FB430" w14:textId="77777777" w:rsidTr="00496343">
        <w:tc>
          <w:tcPr>
            <w:tcW w:w="1124" w:type="dxa"/>
            <w:vAlign w:val="center"/>
          </w:tcPr>
          <w:p w14:paraId="3368B31C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52ABF603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6.3.2</w:t>
            </w:r>
          </w:p>
        </w:tc>
        <w:tc>
          <w:tcPr>
            <w:tcW w:w="5256" w:type="dxa"/>
          </w:tcPr>
          <w:p w14:paraId="2A09BDD0" w14:textId="40B96D7F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Les exigences relatives aux installations et aux conditions ambiantes sont documentées</w:t>
            </w:r>
          </w:p>
        </w:tc>
        <w:tc>
          <w:tcPr>
            <w:tcW w:w="1085" w:type="dxa"/>
          </w:tcPr>
          <w:p w14:paraId="52C39D8B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2F2F52E8" w14:textId="77777777" w:rsidTr="00496343">
        <w:tc>
          <w:tcPr>
            <w:tcW w:w="1124" w:type="dxa"/>
            <w:vAlign w:val="center"/>
          </w:tcPr>
          <w:p w14:paraId="7F307558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01129DFE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6.3.5</w:t>
            </w:r>
          </w:p>
        </w:tc>
        <w:tc>
          <w:tcPr>
            <w:tcW w:w="5256" w:type="dxa"/>
          </w:tcPr>
          <w:p w14:paraId="4243D7D7" w14:textId="24AA8013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Les activités réalisées dans des sites ou installations non maitrisées en permanence par le laboratoire doivent satisfaire à la clause 6.3 de la norme</w:t>
            </w:r>
          </w:p>
        </w:tc>
        <w:tc>
          <w:tcPr>
            <w:tcW w:w="1085" w:type="dxa"/>
          </w:tcPr>
          <w:p w14:paraId="3FBC2048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324B5949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0FAD1FF6" w14:textId="77777777" w:rsidR="0000259C" w:rsidRPr="00F33853" w:rsidRDefault="0000259C" w:rsidP="0000259C">
      <w:pPr>
        <w:rPr>
          <w:lang w:val="fr-BE"/>
        </w:rPr>
      </w:pPr>
    </w:p>
    <w:p w14:paraId="7FAFDD0E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38ADD550" w14:textId="77777777" w:rsidR="0000259C" w:rsidRPr="00F33853" w:rsidRDefault="0000259C" w:rsidP="000D7086">
      <w:pPr>
        <w:rPr>
          <w:lang w:val="fr-BE"/>
        </w:rPr>
      </w:pPr>
    </w:p>
    <w:p w14:paraId="6FEBD679" w14:textId="01408246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5.3: </w:t>
      </w:r>
      <w:r w:rsidRPr="00F33853">
        <w:rPr>
          <w:rFonts w:eastAsia="Calibri"/>
          <w:color w:val="000000"/>
          <w:szCs w:val="24"/>
          <w:lang w:val="fr-BE"/>
        </w:rPr>
        <w:t>Matériel de laboratoire, réactifs et consommables</w:t>
      </w:r>
    </w:p>
    <w:p w14:paraId="31E84046" w14:textId="77777777" w:rsidR="00C92B81" w:rsidRPr="00F33853" w:rsidRDefault="00C92B81" w:rsidP="00C92B81">
      <w:pPr>
        <w:pStyle w:val="Kop4"/>
        <w:rPr>
          <w:lang w:val="fr-BE"/>
        </w:rPr>
      </w:pPr>
      <w:r w:rsidRPr="00F33853">
        <w:rPr>
          <w:lang w:val="fr-BE"/>
        </w:rPr>
        <w:t>EN ISO/IEC 17025:2017 § 6.4: Équipements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4"/>
        <w:gridCol w:w="5252"/>
        <w:gridCol w:w="1085"/>
      </w:tblGrid>
      <w:tr w:rsidR="00DD2CED" w:rsidRPr="00F33853" w14:paraId="35E92B77" w14:textId="77777777" w:rsidTr="00496343">
        <w:tc>
          <w:tcPr>
            <w:tcW w:w="2679" w:type="dxa"/>
            <w:gridSpan w:val="2"/>
            <w:vAlign w:val="center"/>
          </w:tcPr>
          <w:p w14:paraId="7E7BDE05" w14:textId="17325FDB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2" w:type="dxa"/>
            <w:vMerge w:val="restart"/>
            <w:vAlign w:val="center"/>
          </w:tcPr>
          <w:p w14:paraId="71015190" w14:textId="2A7F4802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5AA2E2F1" w14:textId="6BE7D8EC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0FE1721A" w14:textId="77777777" w:rsidTr="00496343">
        <w:tc>
          <w:tcPr>
            <w:tcW w:w="1125" w:type="dxa"/>
            <w:vAlign w:val="center"/>
          </w:tcPr>
          <w:p w14:paraId="4D354DF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4" w:type="dxa"/>
            <w:vAlign w:val="center"/>
          </w:tcPr>
          <w:p w14:paraId="10FDFA5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2" w:type="dxa"/>
            <w:vMerge/>
          </w:tcPr>
          <w:p w14:paraId="7A79B91D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2ABF81C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EA68B9" w14:paraId="6001F1BD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56E310A2" w14:textId="07C1D373" w:rsidR="0000259C" w:rsidRPr="00294B21" w:rsidRDefault="00A06569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>Matériel de laboratoire, réactifs et consommables</w:t>
            </w:r>
          </w:p>
        </w:tc>
      </w:tr>
      <w:tr w:rsidR="00203658" w:rsidRPr="00F33853" w14:paraId="2ACF6D8F" w14:textId="77777777" w:rsidTr="00203658">
        <w:tc>
          <w:tcPr>
            <w:tcW w:w="1125" w:type="dxa"/>
            <w:vAlign w:val="center"/>
          </w:tcPr>
          <w:p w14:paraId="45A3C629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5.3.1.1</w:t>
            </w:r>
          </w:p>
        </w:tc>
        <w:tc>
          <w:tcPr>
            <w:tcW w:w="1554" w:type="dxa"/>
            <w:vAlign w:val="center"/>
          </w:tcPr>
          <w:p w14:paraId="36F5FF51" w14:textId="77777777" w:rsidR="00203658" w:rsidRPr="00F33853" w:rsidRDefault="00203658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6.1, 6.4.1, 6.4.2</w:t>
            </w:r>
          </w:p>
        </w:tc>
        <w:tc>
          <w:tcPr>
            <w:tcW w:w="5252" w:type="dxa"/>
            <w:vAlign w:val="center"/>
          </w:tcPr>
          <w:p w14:paraId="165099E6" w14:textId="2A4696D5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Equipement : généralités</w:t>
            </w:r>
          </w:p>
        </w:tc>
        <w:tc>
          <w:tcPr>
            <w:tcW w:w="1085" w:type="dxa"/>
          </w:tcPr>
          <w:p w14:paraId="2D2CCD5E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F33853" w14:paraId="065AB84E" w14:textId="77777777" w:rsidTr="00496343">
        <w:tc>
          <w:tcPr>
            <w:tcW w:w="1125" w:type="dxa"/>
            <w:vAlign w:val="center"/>
          </w:tcPr>
          <w:p w14:paraId="72AADBB1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5.3.1.2</w:t>
            </w:r>
          </w:p>
        </w:tc>
        <w:tc>
          <w:tcPr>
            <w:tcW w:w="1554" w:type="dxa"/>
            <w:vAlign w:val="center"/>
          </w:tcPr>
          <w:p w14:paraId="1FBAFFDA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6.4.4</w:t>
            </w:r>
          </w:p>
        </w:tc>
        <w:tc>
          <w:tcPr>
            <w:tcW w:w="5252" w:type="dxa"/>
          </w:tcPr>
          <w:p w14:paraId="63F60D0F" w14:textId="711532F5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Essais d’acceptation de l’équipement</w:t>
            </w:r>
          </w:p>
        </w:tc>
        <w:tc>
          <w:tcPr>
            <w:tcW w:w="1085" w:type="dxa"/>
          </w:tcPr>
          <w:p w14:paraId="715FE17F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F33853" w14:paraId="7191E831" w14:textId="77777777" w:rsidTr="00496343">
        <w:tc>
          <w:tcPr>
            <w:tcW w:w="1125" w:type="dxa"/>
            <w:vAlign w:val="center"/>
          </w:tcPr>
          <w:p w14:paraId="615D42DA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5.3.1.3</w:t>
            </w:r>
          </w:p>
        </w:tc>
        <w:tc>
          <w:tcPr>
            <w:tcW w:w="1554" w:type="dxa"/>
            <w:vAlign w:val="center"/>
          </w:tcPr>
          <w:p w14:paraId="51DAA014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6.4.3, 6.4.12</w:t>
            </w:r>
          </w:p>
        </w:tc>
        <w:tc>
          <w:tcPr>
            <w:tcW w:w="5252" w:type="dxa"/>
          </w:tcPr>
          <w:p w14:paraId="4B3BF4E9" w14:textId="5550C914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Equipements – mode d’emploi</w:t>
            </w:r>
          </w:p>
        </w:tc>
        <w:tc>
          <w:tcPr>
            <w:tcW w:w="1085" w:type="dxa"/>
          </w:tcPr>
          <w:p w14:paraId="562F59B9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7CD2DDAA" w14:textId="77777777" w:rsidTr="00496343">
        <w:tc>
          <w:tcPr>
            <w:tcW w:w="1125" w:type="dxa"/>
            <w:vAlign w:val="center"/>
          </w:tcPr>
          <w:p w14:paraId="0585A5C7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lastRenderedPageBreak/>
              <w:t>5.3.1.4</w:t>
            </w:r>
          </w:p>
        </w:tc>
        <w:tc>
          <w:tcPr>
            <w:tcW w:w="1554" w:type="dxa"/>
            <w:vAlign w:val="center"/>
          </w:tcPr>
          <w:p w14:paraId="73356E13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6.4.6, 6.4.8, 6.4.11, 6.4.12, 6.5.1,6.5.2, 6.5.3</w:t>
            </w:r>
          </w:p>
        </w:tc>
        <w:tc>
          <w:tcPr>
            <w:tcW w:w="5252" w:type="dxa"/>
          </w:tcPr>
          <w:p w14:paraId="63CCC43D" w14:textId="173EE9A5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Etalonnage des équipements et traçabilité métrologique</w:t>
            </w:r>
          </w:p>
        </w:tc>
        <w:tc>
          <w:tcPr>
            <w:tcW w:w="1085" w:type="dxa"/>
          </w:tcPr>
          <w:p w14:paraId="41914362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13BB5E49" w14:textId="77777777" w:rsidTr="00496343">
        <w:tc>
          <w:tcPr>
            <w:tcW w:w="1125" w:type="dxa"/>
            <w:vAlign w:val="center"/>
          </w:tcPr>
          <w:p w14:paraId="408EC582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5.3.1.5</w:t>
            </w:r>
          </w:p>
        </w:tc>
        <w:tc>
          <w:tcPr>
            <w:tcW w:w="1554" w:type="dxa"/>
            <w:vAlign w:val="center"/>
          </w:tcPr>
          <w:p w14:paraId="403BE4B8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6.4.3, 6.4.4, 6.4.9</w:t>
            </w:r>
          </w:p>
        </w:tc>
        <w:tc>
          <w:tcPr>
            <w:tcW w:w="5252" w:type="dxa"/>
          </w:tcPr>
          <w:p w14:paraId="54C22E2D" w14:textId="63962F90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Maintenance et réparation du matériel</w:t>
            </w:r>
          </w:p>
        </w:tc>
        <w:tc>
          <w:tcPr>
            <w:tcW w:w="1085" w:type="dxa"/>
          </w:tcPr>
          <w:p w14:paraId="38724B31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323884A0" w14:textId="77777777" w:rsidTr="00496343">
        <w:tc>
          <w:tcPr>
            <w:tcW w:w="1125" w:type="dxa"/>
            <w:vAlign w:val="center"/>
          </w:tcPr>
          <w:p w14:paraId="161CD4F0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5.3.1.6</w:t>
            </w:r>
          </w:p>
        </w:tc>
        <w:tc>
          <w:tcPr>
            <w:tcW w:w="1554" w:type="dxa"/>
            <w:vAlign w:val="center"/>
          </w:tcPr>
          <w:p w14:paraId="6B21BA6D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07F9CD21" w14:textId="13AB923D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Compte rendu des événements indésirables</w:t>
            </w:r>
          </w:p>
        </w:tc>
        <w:tc>
          <w:tcPr>
            <w:tcW w:w="1085" w:type="dxa"/>
          </w:tcPr>
          <w:p w14:paraId="153F2343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F33853" w14:paraId="74C0BBC0" w14:textId="77777777" w:rsidTr="00496343">
        <w:tc>
          <w:tcPr>
            <w:tcW w:w="1125" w:type="dxa"/>
            <w:vAlign w:val="center"/>
          </w:tcPr>
          <w:p w14:paraId="3D44CC4F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5.3.1.7</w:t>
            </w:r>
          </w:p>
        </w:tc>
        <w:tc>
          <w:tcPr>
            <w:tcW w:w="1554" w:type="dxa"/>
            <w:vAlign w:val="center"/>
          </w:tcPr>
          <w:p w14:paraId="135ED8E8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6.4.13</w:t>
            </w:r>
          </w:p>
        </w:tc>
        <w:tc>
          <w:tcPr>
            <w:tcW w:w="5252" w:type="dxa"/>
          </w:tcPr>
          <w:p w14:paraId="38B3E677" w14:textId="3815E95B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Enregistrements des matériels</w:t>
            </w:r>
          </w:p>
        </w:tc>
        <w:tc>
          <w:tcPr>
            <w:tcW w:w="1085" w:type="dxa"/>
          </w:tcPr>
          <w:p w14:paraId="689D472F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F33853" w14:paraId="1F17F3DB" w14:textId="77777777" w:rsidTr="00496343">
        <w:tc>
          <w:tcPr>
            <w:tcW w:w="1125" w:type="dxa"/>
            <w:vAlign w:val="center"/>
          </w:tcPr>
          <w:p w14:paraId="20EFA140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5.3.2.1</w:t>
            </w:r>
          </w:p>
        </w:tc>
        <w:tc>
          <w:tcPr>
            <w:tcW w:w="1554" w:type="dxa"/>
            <w:vAlign w:val="center"/>
          </w:tcPr>
          <w:p w14:paraId="2409C854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6.6.2</w:t>
            </w:r>
          </w:p>
        </w:tc>
        <w:tc>
          <w:tcPr>
            <w:tcW w:w="5252" w:type="dxa"/>
          </w:tcPr>
          <w:p w14:paraId="2656FB36" w14:textId="17FCCC4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- Généralités</w:t>
            </w:r>
          </w:p>
        </w:tc>
        <w:tc>
          <w:tcPr>
            <w:tcW w:w="1085" w:type="dxa"/>
          </w:tcPr>
          <w:p w14:paraId="71EFFF09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6DD452B6" w14:textId="77777777" w:rsidTr="00496343">
        <w:tc>
          <w:tcPr>
            <w:tcW w:w="1125" w:type="dxa"/>
            <w:vAlign w:val="center"/>
          </w:tcPr>
          <w:p w14:paraId="74F2EE80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5.3.2.2</w:t>
            </w:r>
          </w:p>
        </w:tc>
        <w:tc>
          <w:tcPr>
            <w:tcW w:w="1554" w:type="dxa"/>
            <w:vAlign w:val="center"/>
          </w:tcPr>
          <w:p w14:paraId="26B48B74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7756AACB" w14:textId="208CB323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– réception et stockage</w:t>
            </w:r>
          </w:p>
        </w:tc>
        <w:tc>
          <w:tcPr>
            <w:tcW w:w="1085" w:type="dxa"/>
          </w:tcPr>
          <w:p w14:paraId="52E31CCA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5A6C37D3" w14:textId="77777777" w:rsidTr="00496343">
        <w:tc>
          <w:tcPr>
            <w:tcW w:w="1125" w:type="dxa"/>
            <w:vAlign w:val="center"/>
          </w:tcPr>
          <w:p w14:paraId="05760E73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5.3.2.3</w:t>
            </w:r>
          </w:p>
        </w:tc>
        <w:tc>
          <w:tcPr>
            <w:tcW w:w="1554" w:type="dxa"/>
            <w:vAlign w:val="center"/>
          </w:tcPr>
          <w:p w14:paraId="1D150ED9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4BE74FBB" w14:textId="50C1033B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– essais d’acceptation</w:t>
            </w:r>
          </w:p>
        </w:tc>
        <w:tc>
          <w:tcPr>
            <w:tcW w:w="1085" w:type="dxa"/>
          </w:tcPr>
          <w:p w14:paraId="03EA9BEB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55C0B04C" w14:textId="77777777" w:rsidTr="00496343">
        <w:tc>
          <w:tcPr>
            <w:tcW w:w="1125" w:type="dxa"/>
            <w:vAlign w:val="center"/>
          </w:tcPr>
          <w:p w14:paraId="04A66F00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5.3.2.4</w:t>
            </w:r>
          </w:p>
        </w:tc>
        <w:tc>
          <w:tcPr>
            <w:tcW w:w="1554" w:type="dxa"/>
            <w:vAlign w:val="center"/>
          </w:tcPr>
          <w:p w14:paraId="7FFD0234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284A6F5E" w14:textId="17A5CD25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– gestion des stocks</w:t>
            </w:r>
          </w:p>
        </w:tc>
        <w:tc>
          <w:tcPr>
            <w:tcW w:w="1085" w:type="dxa"/>
          </w:tcPr>
          <w:p w14:paraId="4A9F20F8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7E753CC5" w14:textId="77777777" w:rsidTr="00496343">
        <w:tc>
          <w:tcPr>
            <w:tcW w:w="1125" w:type="dxa"/>
            <w:vAlign w:val="center"/>
          </w:tcPr>
          <w:p w14:paraId="5C382428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5.3.2.5</w:t>
            </w:r>
          </w:p>
        </w:tc>
        <w:tc>
          <w:tcPr>
            <w:tcW w:w="1554" w:type="dxa"/>
            <w:vAlign w:val="center"/>
          </w:tcPr>
          <w:p w14:paraId="70CFF67C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752FD8B9" w14:textId="4EBBCEB2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– mode d’emploi</w:t>
            </w:r>
          </w:p>
        </w:tc>
        <w:tc>
          <w:tcPr>
            <w:tcW w:w="1085" w:type="dxa"/>
          </w:tcPr>
          <w:p w14:paraId="479A1DC7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EA68B9" w14:paraId="09042FD5" w14:textId="77777777" w:rsidTr="00496343">
        <w:tc>
          <w:tcPr>
            <w:tcW w:w="1125" w:type="dxa"/>
            <w:vAlign w:val="center"/>
          </w:tcPr>
          <w:p w14:paraId="72A95DD4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5.3.2.6</w:t>
            </w:r>
          </w:p>
        </w:tc>
        <w:tc>
          <w:tcPr>
            <w:tcW w:w="1554" w:type="dxa"/>
            <w:vAlign w:val="center"/>
          </w:tcPr>
          <w:p w14:paraId="66818F6A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1367CA06" w14:textId="15F55CBB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– compte rendu d’un événement indésirables</w:t>
            </w:r>
          </w:p>
        </w:tc>
        <w:tc>
          <w:tcPr>
            <w:tcW w:w="1085" w:type="dxa"/>
          </w:tcPr>
          <w:p w14:paraId="0FBE0CF8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203658" w:rsidRPr="00F33853" w14:paraId="41924BB2" w14:textId="77777777" w:rsidTr="00496343">
        <w:tc>
          <w:tcPr>
            <w:tcW w:w="1125" w:type="dxa"/>
            <w:vAlign w:val="center"/>
          </w:tcPr>
          <w:p w14:paraId="00ABB887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5.3.2.7</w:t>
            </w:r>
          </w:p>
        </w:tc>
        <w:tc>
          <w:tcPr>
            <w:tcW w:w="1554" w:type="dxa"/>
            <w:vAlign w:val="center"/>
          </w:tcPr>
          <w:p w14:paraId="56D2C4B8" w14:textId="77777777" w:rsidR="00203658" w:rsidRPr="00F33853" w:rsidRDefault="00203658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2" w:type="dxa"/>
          </w:tcPr>
          <w:p w14:paraId="6ED1B117" w14:textId="00F33227" w:rsidR="00203658" w:rsidRPr="00F33853" w:rsidRDefault="00203658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Réactifs et consommables – enregistrements</w:t>
            </w:r>
          </w:p>
        </w:tc>
        <w:tc>
          <w:tcPr>
            <w:tcW w:w="1085" w:type="dxa"/>
          </w:tcPr>
          <w:p w14:paraId="7D83BA62" w14:textId="77777777" w:rsidR="00203658" w:rsidRPr="00F33853" w:rsidRDefault="00203658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5D757FBC" w14:textId="77777777" w:rsidTr="00496343">
        <w:tc>
          <w:tcPr>
            <w:tcW w:w="1125" w:type="dxa"/>
            <w:vAlign w:val="center"/>
          </w:tcPr>
          <w:p w14:paraId="246EBC84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4742C70E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6.4.5</w:t>
            </w:r>
          </w:p>
        </w:tc>
        <w:tc>
          <w:tcPr>
            <w:tcW w:w="5252" w:type="dxa"/>
          </w:tcPr>
          <w:p w14:paraId="67DB3947" w14:textId="28DAEA92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Les équipements de mesure doivent être capables d’atteindre l’exactitude de mesure et/ou l’incertitude de mesure nécessaire</w:t>
            </w:r>
          </w:p>
        </w:tc>
        <w:tc>
          <w:tcPr>
            <w:tcW w:w="1085" w:type="dxa"/>
          </w:tcPr>
          <w:p w14:paraId="603146C9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3305CD61" w14:textId="77777777" w:rsidTr="00496343">
        <w:tc>
          <w:tcPr>
            <w:tcW w:w="1125" w:type="dxa"/>
            <w:vAlign w:val="center"/>
          </w:tcPr>
          <w:p w14:paraId="7FB22CA7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71680F4E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6.4.6</w:t>
            </w:r>
          </w:p>
        </w:tc>
        <w:tc>
          <w:tcPr>
            <w:tcW w:w="5252" w:type="dxa"/>
          </w:tcPr>
          <w:p w14:paraId="4020214A" w14:textId="7165ADBD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Étalonnage des équipements de mesure</w:t>
            </w:r>
          </w:p>
        </w:tc>
        <w:tc>
          <w:tcPr>
            <w:tcW w:w="1085" w:type="dxa"/>
          </w:tcPr>
          <w:p w14:paraId="2BA9FAC3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F33853" w14:paraId="1780F667" w14:textId="77777777" w:rsidTr="00496343">
        <w:tc>
          <w:tcPr>
            <w:tcW w:w="1125" w:type="dxa"/>
            <w:vAlign w:val="center"/>
          </w:tcPr>
          <w:p w14:paraId="00A4C11B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4B90EB7F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6.4.7</w:t>
            </w:r>
          </w:p>
        </w:tc>
        <w:tc>
          <w:tcPr>
            <w:tcW w:w="5252" w:type="dxa"/>
          </w:tcPr>
          <w:p w14:paraId="11A733F1" w14:textId="64C72F88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Programme d’étalonnage</w:t>
            </w:r>
          </w:p>
        </w:tc>
        <w:tc>
          <w:tcPr>
            <w:tcW w:w="1085" w:type="dxa"/>
          </w:tcPr>
          <w:p w14:paraId="56806A75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7B74F6EC" w14:textId="77777777" w:rsidTr="00496343">
        <w:tc>
          <w:tcPr>
            <w:tcW w:w="1125" w:type="dxa"/>
            <w:vAlign w:val="center"/>
          </w:tcPr>
          <w:p w14:paraId="49799679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588E7D9E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6.4.10</w:t>
            </w:r>
          </w:p>
        </w:tc>
        <w:tc>
          <w:tcPr>
            <w:tcW w:w="5252" w:type="dxa"/>
          </w:tcPr>
          <w:p w14:paraId="6D75F22F" w14:textId="4877689F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Procédure relative aux contrôles intermédiaires</w:t>
            </w:r>
          </w:p>
        </w:tc>
        <w:tc>
          <w:tcPr>
            <w:tcW w:w="1085" w:type="dxa"/>
          </w:tcPr>
          <w:p w14:paraId="60D8E278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F33853" w14:paraId="4375A5A2" w14:textId="77777777" w:rsidTr="00496343">
        <w:tc>
          <w:tcPr>
            <w:tcW w:w="1125" w:type="dxa"/>
            <w:vAlign w:val="center"/>
          </w:tcPr>
          <w:p w14:paraId="5131BA10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7BBBDB3D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6.4.13</w:t>
            </w:r>
          </w:p>
        </w:tc>
        <w:tc>
          <w:tcPr>
            <w:tcW w:w="5252" w:type="dxa"/>
          </w:tcPr>
          <w:p w14:paraId="70D6B4C9" w14:textId="27F56B0A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Conservation des enregistrements</w:t>
            </w:r>
          </w:p>
        </w:tc>
        <w:tc>
          <w:tcPr>
            <w:tcW w:w="1085" w:type="dxa"/>
          </w:tcPr>
          <w:p w14:paraId="77E26626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58EF79B5" w14:textId="77777777" w:rsidR="0000259C" w:rsidRPr="00F33853" w:rsidRDefault="0000259C" w:rsidP="000D7086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761D06DE" w14:textId="77777777" w:rsidR="0000259C" w:rsidRPr="00F33853" w:rsidRDefault="0000259C" w:rsidP="000D7086">
      <w:pPr>
        <w:rPr>
          <w:lang w:val="fr-BE"/>
        </w:rPr>
      </w:pPr>
    </w:p>
    <w:p w14:paraId="53F429AB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2B1B0CA6" w14:textId="77777777" w:rsidR="0000259C" w:rsidRPr="00F33853" w:rsidRDefault="0000259C" w:rsidP="0000259C">
      <w:pPr>
        <w:rPr>
          <w:lang w:val="fr-BE"/>
        </w:rPr>
      </w:pPr>
    </w:p>
    <w:p w14:paraId="21443B3E" w14:textId="7DFFF094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5.4: </w:t>
      </w:r>
      <w:r w:rsidRPr="00F33853">
        <w:rPr>
          <w:rFonts w:eastAsia="Calibri"/>
          <w:color w:val="000000"/>
          <w:szCs w:val="24"/>
          <w:lang w:val="fr-BE"/>
        </w:rPr>
        <w:t xml:space="preserve">Processus </w:t>
      </w:r>
      <w:proofErr w:type="spellStart"/>
      <w:r w:rsidRPr="00F33853">
        <w:rPr>
          <w:rFonts w:eastAsia="Calibri"/>
          <w:color w:val="000000"/>
          <w:szCs w:val="24"/>
          <w:lang w:val="fr-BE"/>
        </w:rPr>
        <w:t>préanalytiques</w:t>
      </w:r>
      <w:proofErr w:type="spellEnd"/>
    </w:p>
    <w:p w14:paraId="4652F2A3" w14:textId="28AAE1CF" w:rsidR="00C92B81" w:rsidRPr="00F33853" w:rsidRDefault="00C92B81" w:rsidP="00604F0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7.3: Échantillonnage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7.4: Manutention des objets d’essai ou d'étalonnage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51"/>
        <w:gridCol w:w="5253"/>
        <w:gridCol w:w="1085"/>
      </w:tblGrid>
      <w:tr w:rsidR="00DD2CED" w:rsidRPr="00F33853" w14:paraId="64B202D6" w14:textId="77777777" w:rsidTr="00630715">
        <w:tc>
          <w:tcPr>
            <w:tcW w:w="2678" w:type="dxa"/>
            <w:gridSpan w:val="2"/>
            <w:vAlign w:val="center"/>
          </w:tcPr>
          <w:p w14:paraId="7F1FE9C4" w14:textId="04CE49E4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3" w:type="dxa"/>
            <w:vMerge w:val="restart"/>
            <w:vAlign w:val="center"/>
          </w:tcPr>
          <w:p w14:paraId="0658041C" w14:textId="1401281F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79A25C0B" w14:textId="6EBC58E0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409C5D23" w14:textId="77777777" w:rsidTr="00630715">
        <w:tc>
          <w:tcPr>
            <w:tcW w:w="1127" w:type="dxa"/>
            <w:vAlign w:val="center"/>
          </w:tcPr>
          <w:p w14:paraId="1C23BADD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  <w:vAlign w:val="center"/>
          </w:tcPr>
          <w:p w14:paraId="21C47213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3" w:type="dxa"/>
            <w:vMerge/>
          </w:tcPr>
          <w:p w14:paraId="085908D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5AB3D91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2F456FAA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49ADE560" w14:textId="6CBDAC43" w:rsidR="0000259C" w:rsidRPr="00F33853" w:rsidRDefault="00A06569" w:rsidP="00F33853">
            <w:pPr>
              <w:pStyle w:val="Tabeltitel"/>
            </w:pPr>
            <w:proofErr w:type="spellStart"/>
            <w:r w:rsidRPr="00F33853">
              <w:t>Processus</w:t>
            </w:r>
            <w:proofErr w:type="spellEnd"/>
            <w:r w:rsidRPr="00F33853">
              <w:t xml:space="preserve"> </w:t>
            </w:r>
            <w:proofErr w:type="spellStart"/>
            <w:r w:rsidRPr="00F33853">
              <w:t>préanalytiques</w:t>
            </w:r>
            <w:proofErr w:type="spellEnd"/>
          </w:p>
        </w:tc>
      </w:tr>
      <w:tr w:rsidR="00630715" w:rsidRPr="00F33853" w14:paraId="00F9B6FF" w14:textId="77777777" w:rsidTr="00630715">
        <w:tc>
          <w:tcPr>
            <w:tcW w:w="1127" w:type="dxa"/>
            <w:vAlign w:val="center"/>
          </w:tcPr>
          <w:p w14:paraId="15D993CB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5.4.1</w:t>
            </w:r>
          </w:p>
        </w:tc>
        <w:tc>
          <w:tcPr>
            <w:tcW w:w="1551" w:type="dxa"/>
            <w:vAlign w:val="center"/>
          </w:tcPr>
          <w:p w14:paraId="57078DB7" w14:textId="77777777" w:rsidR="00630715" w:rsidRPr="00F33853" w:rsidRDefault="00630715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5253" w:type="dxa"/>
          </w:tcPr>
          <w:p w14:paraId="57D47D72" w14:textId="0BC96945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0DDD61B3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375DD814" w14:textId="77777777" w:rsidTr="00630715">
        <w:tc>
          <w:tcPr>
            <w:tcW w:w="1127" w:type="dxa"/>
            <w:vAlign w:val="center"/>
          </w:tcPr>
          <w:p w14:paraId="06EDF323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5.4.2</w:t>
            </w:r>
          </w:p>
        </w:tc>
        <w:tc>
          <w:tcPr>
            <w:tcW w:w="1551" w:type="dxa"/>
            <w:vAlign w:val="center"/>
          </w:tcPr>
          <w:p w14:paraId="7195366B" w14:textId="77777777" w:rsidR="00630715" w:rsidRPr="00F33853" w:rsidRDefault="00630715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-</w:t>
            </w:r>
          </w:p>
        </w:tc>
        <w:tc>
          <w:tcPr>
            <w:tcW w:w="5253" w:type="dxa"/>
          </w:tcPr>
          <w:p w14:paraId="04558EC3" w14:textId="48D8305E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Informations pour les patients et utilisateurs</w:t>
            </w:r>
          </w:p>
        </w:tc>
        <w:tc>
          <w:tcPr>
            <w:tcW w:w="1085" w:type="dxa"/>
          </w:tcPr>
          <w:p w14:paraId="61528FA7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0B462DA7" w14:textId="77777777" w:rsidTr="00630715">
        <w:tc>
          <w:tcPr>
            <w:tcW w:w="1127" w:type="dxa"/>
            <w:vAlign w:val="center"/>
          </w:tcPr>
          <w:p w14:paraId="26374C03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5.4.3</w:t>
            </w:r>
          </w:p>
        </w:tc>
        <w:tc>
          <w:tcPr>
            <w:tcW w:w="1551" w:type="dxa"/>
            <w:vAlign w:val="center"/>
          </w:tcPr>
          <w:p w14:paraId="326BD347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3" w:type="dxa"/>
          </w:tcPr>
          <w:p w14:paraId="6D950981" w14:textId="28C457BF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Informations de prescription</w:t>
            </w:r>
          </w:p>
        </w:tc>
        <w:tc>
          <w:tcPr>
            <w:tcW w:w="1085" w:type="dxa"/>
          </w:tcPr>
          <w:p w14:paraId="099A9B58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7C4FA69A" w14:textId="77777777" w:rsidTr="00630715">
        <w:tc>
          <w:tcPr>
            <w:tcW w:w="1127" w:type="dxa"/>
            <w:vAlign w:val="center"/>
          </w:tcPr>
          <w:p w14:paraId="1E52195D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5.4.4.1</w:t>
            </w:r>
          </w:p>
        </w:tc>
        <w:tc>
          <w:tcPr>
            <w:tcW w:w="1551" w:type="dxa"/>
            <w:vAlign w:val="center"/>
          </w:tcPr>
          <w:p w14:paraId="4EA3D961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7.3.1</w:t>
            </w:r>
          </w:p>
        </w:tc>
        <w:tc>
          <w:tcPr>
            <w:tcW w:w="5253" w:type="dxa"/>
          </w:tcPr>
          <w:p w14:paraId="7ED73AD9" w14:textId="347DF242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Prélèvement et manipulation des échantillons primaires</w:t>
            </w:r>
            <w:r w:rsidR="00C92B81" w:rsidRPr="00F33853">
              <w:rPr>
                <w:lang w:val="fr-BE"/>
              </w:rPr>
              <w:t xml:space="preserve"> -Généralités</w:t>
            </w:r>
          </w:p>
        </w:tc>
        <w:tc>
          <w:tcPr>
            <w:tcW w:w="1085" w:type="dxa"/>
          </w:tcPr>
          <w:p w14:paraId="21F98428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1228D484" w14:textId="77777777" w:rsidTr="00630715">
        <w:tc>
          <w:tcPr>
            <w:tcW w:w="1127" w:type="dxa"/>
            <w:vAlign w:val="center"/>
          </w:tcPr>
          <w:p w14:paraId="16B76B5E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5.4.4.2</w:t>
            </w:r>
          </w:p>
        </w:tc>
        <w:tc>
          <w:tcPr>
            <w:tcW w:w="1551" w:type="dxa"/>
            <w:vAlign w:val="center"/>
          </w:tcPr>
          <w:p w14:paraId="159EADB9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3" w:type="dxa"/>
          </w:tcPr>
          <w:p w14:paraId="037B4B02" w14:textId="393FBF0E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Instructions relatives aux activités de pré-prélèvement</w:t>
            </w:r>
          </w:p>
        </w:tc>
        <w:tc>
          <w:tcPr>
            <w:tcW w:w="1085" w:type="dxa"/>
          </w:tcPr>
          <w:p w14:paraId="2BF93311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5D66DB4D" w14:textId="77777777" w:rsidTr="00630715">
        <w:tc>
          <w:tcPr>
            <w:tcW w:w="1127" w:type="dxa"/>
            <w:vAlign w:val="center"/>
          </w:tcPr>
          <w:p w14:paraId="436D8E6A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5.4.4.3</w:t>
            </w:r>
          </w:p>
        </w:tc>
        <w:tc>
          <w:tcPr>
            <w:tcW w:w="1551" w:type="dxa"/>
            <w:vAlign w:val="center"/>
          </w:tcPr>
          <w:p w14:paraId="5CFD56C4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7.3.2</w:t>
            </w:r>
          </w:p>
        </w:tc>
        <w:tc>
          <w:tcPr>
            <w:tcW w:w="5253" w:type="dxa"/>
          </w:tcPr>
          <w:p w14:paraId="7DF68A5F" w14:textId="5D9143A4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Instructions relatives aux activités de prélèvement</w:t>
            </w:r>
          </w:p>
        </w:tc>
        <w:tc>
          <w:tcPr>
            <w:tcW w:w="1085" w:type="dxa"/>
          </w:tcPr>
          <w:p w14:paraId="7627514D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F33853" w14:paraId="32D173D7" w14:textId="77777777" w:rsidTr="00630715">
        <w:tc>
          <w:tcPr>
            <w:tcW w:w="1127" w:type="dxa"/>
            <w:vAlign w:val="center"/>
          </w:tcPr>
          <w:p w14:paraId="4DF7FB34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5.4.5</w:t>
            </w:r>
          </w:p>
        </w:tc>
        <w:tc>
          <w:tcPr>
            <w:tcW w:w="1551" w:type="dxa"/>
            <w:vAlign w:val="center"/>
          </w:tcPr>
          <w:p w14:paraId="3D6CD8C0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7.4.1</w:t>
            </w:r>
          </w:p>
        </w:tc>
        <w:tc>
          <w:tcPr>
            <w:tcW w:w="5253" w:type="dxa"/>
          </w:tcPr>
          <w:p w14:paraId="13C415F2" w14:textId="28DCD654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Transport des échantillons</w:t>
            </w:r>
          </w:p>
        </w:tc>
        <w:tc>
          <w:tcPr>
            <w:tcW w:w="1085" w:type="dxa"/>
          </w:tcPr>
          <w:p w14:paraId="648A905F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F33853" w14:paraId="0374D97D" w14:textId="77777777" w:rsidTr="00630715">
        <w:tc>
          <w:tcPr>
            <w:tcW w:w="1127" w:type="dxa"/>
            <w:vAlign w:val="center"/>
          </w:tcPr>
          <w:p w14:paraId="2855C517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5.4.6</w:t>
            </w:r>
          </w:p>
        </w:tc>
        <w:tc>
          <w:tcPr>
            <w:tcW w:w="1551" w:type="dxa"/>
            <w:vAlign w:val="center"/>
          </w:tcPr>
          <w:p w14:paraId="7D76CFDB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7.4.1, 7.4.2, 7.4.3</w:t>
            </w:r>
          </w:p>
        </w:tc>
        <w:tc>
          <w:tcPr>
            <w:tcW w:w="5253" w:type="dxa"/>
          </w:tcPr>
          <w:p w14:paraId="5210EFDB" w14:textId="3B170FA2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Réception des échantillons</w:t>
            </w:r>
          </w:p>
        </w:tc>
        <w:tc>
          <w:tcPr>
            <w:tcW w:w="1085" w:type="dxa"/>
          </w:tcPr>
          <w:p w14:paraId="6ECE8297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317A0E97" w14:textId="77777777" w:rsidTr="00630715">
        <w:tc>
          <w:tcPr>
            <w:tcW w:w="1127" w:type="dxa"/>
            <w:vAlign w:val="center"/>
          </w:tcPr>
          <w:p w14:paraId="34C842FD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5.4.7</w:t>
            </w:r>
          </w:p>
        </w:tc>
        <w:tc>
          <w:tcPr>
            <w:tcW w:w="1551" w:type="dxa"/>
            <w:vAlign w:val="center"/>
          </w:tcPr>
          <w:p w14:paraId="01BEAEB1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7.4.3, 7.4.4</w:t>
            </w:r>
          </w:p>
        </w:tc>
        <w:tc>
          <w:tcPr>
            <w:tcW w:w="5253" w:type="dxa"/>
          </w:tcPr>
          <w:p w14:paraId="0B407A6B" w14:textId="7EBF9FC0" w:rsidR="00C92B81" w:rsidRPr="00F33853" w:rsidRDefault="00C92B81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Manipulation </w:t>
            </w:r>
            <w:proofErr w:type="spellStart"/>
            <w:r w:rsidRPr="00F33853">
              <w:rPr>
                <w:lang w:val="fr-BE"/>
              </w:rPr>
              <w:t>préanalytique</w:t>
            </w:r>
            <w:proofErr w:type="spellEnd"/>
            <w:r w:rsidRPr="00F33853">
              <w:rPr>
                <w:lang w:val="fr-BE"/>
              </w:rPr>
              <w:t>, préparation et entreposage</w:t>
            </w:r>
          </w:p>
        </w:tc>
        <w:tc>
          <w:tcPr>
            <w:tcW w:w="1085" w:type="dxa"/>
          </w:tcPr>
          <w:p w14:paraId="43A5249A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  <w:tr w:rsidR="00C92B81" w:rsidRPr="00EA68B9" w14:paraId="1502CFF7" w14:textId="77777777" w:rsidTr="00630715">
        <w:tc>
          <w:tcPr>
            <w:tcW w:w="1127" w:type="dxa"/>
            <w:vAlign w:val="center"/>
          </w:tcPr>
          <w:p w14:paraId="328E7B91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1F2732CF" w14:textId="77777777" w:rsidR="00C92B81" w:rsidRPr="00F33853" w:rsidRDefault="00C92B81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7.3.3</w:t>
            </w:r>
          </w:p>
        </w:tc>
        <w:tc>
          <w:tcPr>
            <w:tcW w:w="5253" w:type="dxa"/>
          </w:tcPr>
          <w:p w14:paraId="3DD4ED77" w14:textId="4AA0C851" w:rsidR="00C92B81" w:rsidRPr="00F33853" w:rsidRDefault="00C92B81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Conservation des enregistrements des données d’échantillonnage</w:t>
            </w:r>
          </w:p>
        </w:tc>
        <w:tc>
          <w:tcPr>
            <w:tcW w:w="1085" w:type="dxa"/>
          </w:tcPr>
          <w:p w14:paraId="2CA6C5E6" w14:textId="77777777" w:rsidR="00C92B81" w:rsidRPr="00F33853" w:rsidRDefault="00C92B81" w:rsidP="00F33853">
            <w:pPr>
              <w:pStyle w:val="Tabelinhoud"/>
              <w:rPr>
                <w:lang w:val="fr-BE"/>
              </w:rPr>
            </w:pPr>
          </w:p>
        </w:tc>
      </w:tr>
    </w:tbl>
    <w:p w14:paraId="7B381EF0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3307E602" w14:textId="77777777" w:rsidR="0000259C" w:rsidRPr="00F33853" w:rsidRDefault="0000259C" w:rsidP="0000259C">
      <w:pPr>
        <w:rPr>
          <w:lang w:val="fr-BE"/>
        </w:rPr>
      </w:pPr>
    </w:p>
    <w:p w14:paraId="510FA847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0956D163" w14:textId="77777777" w:rsidR="0000259C" w:rsidRPr="00F33853" w:rsidRDefault="0000259C" w:rsidP="000D7086">
      <w:pPr>
        <w:rPr>
          <w:lang w:val="fr-BE"/>
        </w:rPr>
      </w:pPr>
    </w:p>
    <w:p w14:paraId="3FF6BD9E" w14:textId="22BDA9E1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lastRenderedPageBreak/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5.5: </w:t>
      </w:r>
      <w:r w:rsidRPr="00F33853">
        <w:rPr>
          <w:rFonts w:eastAsia="Calibri"/>
          <w:color w:val="000000"/>
          <w:szCs w:val="24"/>
          <w:lang w:val="fr-BE"/>
        </w:rPr>
        <w:t>Processus analytiques</w:t>
      </w:r>
    </w:p>
    <w:p w14:paraId="1AB88BAE" w14:textId="3973A495" w:rsidR="0000259C" w:rsidRPr="00F33853" w:rsidRDefault="00C92B81" w:rsidP="00604F0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7.3: Échantillonnage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7.4: Manutention des objets d’essai ou d'étalonnage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2"/>
        <w:gridCol w:w="5253"/>
        <w:gridCol w:w="1085"/>
      </w:tblGrid>
      <w:tr w:rsidR="00DD2CED" w:rsidRPr="00F33853" w14:paraId="48C461D3" w14:textId="77777777" w:rsidTr="00630715">
        <w:tc>
          <w:tcPr>
            <w:tcW w:w="2678" w:type="dxa"/>
            <w:gridSpan w:val="2"/>
          </w:tcPr>
          <w:p w14:paraId="34D35B0B" w14:textId="7BA170F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3" w:type="dxa"/>
            <w:vMerge w:val="restart"/>
            <w:vAlign w:val="center"/>
          </w:tcPr>
          <w:p w14:paraId="2B587DC1" w14:textId="11ECBD72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7CDD16E6" w14:textId="3E2868DB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19F2C3DD" w14:textId="77777777" w:rsidTr="00630715">
        <w:tc>
          <w:tcPr>
            <w:tcW w:w="1126" w:type="dxa"/>
            <w:vAlign w:val="center"/>
          </w:tcPr>
          <w:p w14:paraId="30E9C7A0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2" w:type="dxa"/>
            <w:vAlign w:val="center"/>
          </w:tcPr>
          <w:p w14:paraId="139C1527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3" w:type="dxa"/>
            <w:vMerge/>
          </w:tcPr>
          <w:p w14:paraId="65E42C58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7D860821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6232A6CC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1150C217" w14:textId="33E63102" w:rsidR="0000259C" w:rsidRPr="00F33853" w:rsidRDefault="00A06569" w:rsidP="00F33853">
            <w:pPr>
              <w:pStyle w:val="Tabeltitel"/>
            </w:pPr>
            <w:proofErr w:type="spellStart"/>
            <w:r w:rsidRPr="00F33853">
              <w:t>Processus</w:t>
            </w:r>
            <w:proofErr w:type="spellEnd"/>
            <w:r w:rsidRPr="00F33853">
              <w:t xml:space="preserve"> </w:t>
            </w:r>
            <w:proofErr w:type="spellStart"/>
            <w:r w:rsidRPr="00F33853">
              <w:t>analytiques</w:t>
            </w:r>
            <w:proofErr w:type="spellEnd"/>
          </w:p>
        </w:tc>
      </w:tr>
      <w:tr w:rsidR="00630715" w:rsidRPr="00EA68B9" w14:paraId="7886A77E" w14:textId="77777777" w:rsidTr="00630715">
        <w:tc>
          <w:tcPr>
            <w:tcW w:w="1126" w:type="dxa"/>
            <w:vAlign w:val="center"/>
          </w:tcPr>
          <w:p w14:paraId="4C35D406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5.5.1.1</w:t>
            </w:r>
          </w:p>
        </w:tc>
        <w:tc>
          <w:tcPr>
            <w:tcW w:w="1552" w:type="dxa"/>
            <w:vAlign w:val="center"/>
          </w:tcPr>
          <w:p w14:paraId="4813C3F2" w14:textId="77777777" w:rsidR="00630715" w:rsidRPr="00F33853" w:rsidRDefault="00630715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7.2.1.1</w:t>
            </w:r>
          </w:p>
        </w:tc>
        <w:tc>
          <w:tcPr>
            <w:tcW w:w="5253" w:type="dxa"/>
          </w:tcPr>
          <w:p w14:paraId="3950E59E" w14:textId="07DD772C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Sélection, vérification et validation des procédures analytiques : généralités</w:t>
            </w:r>
          </w:p>
        </w:tc>
        <w:tc>
          <w:tcPr>
            <w:tcW w:w="1085" w:type="dxa"/>
          </w:tcPr>
          <w:p w14:paraId="6F85BBE8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222A8558" w14:textId="77777777" w:rsidTr="00630715">
        <w:tc>
          <w:tcPr>
            <w:tcW w:w="1126" w:type="dxa"/>
            <w:vAlign w:val="center"/>
          </w:tcPr>
          <w:p w14:paraId="60D4827C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5.5.1.2</w:t>
            </w:r>
          </w:p>
        </w:tc>
        <w:tc>
          <w:tcPr>
            <w:tcW w:w="1552" w:type="dxa"/>
            <w:vAlign w:val="center"/>
          </w:tcPr>
          <w:p w14:paraId="539EB6AC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7.2.1.5</w:t>
            </w:r>
          </w:p>
        </w:tc>
        <w:tc>
          <w:tcPr>
            <w:tcW w:w="5253" w:type="dxa"/>
          </w:tcPr>
          <w:p w14:paraId="0AD2C658" w14:textId="563175D3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Vérification des procédures analytiques</w:t>
            </w:r>
          </w:p>
        </w:tc>
        <w:tc>
          <w:tcPr>
            <w:tcW w:w="1085" w:type="dxa"/>
          </w:tcPr>
          <w:p w14:paraId="530FD9FC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1A02ADFD" w14:textId="77777777" w:rsidTr="00630715">
        <w:tc>
          <w:tcPr>
            <w:tcW w:w="1126" w:type="dxa"/>
            <w:vAlign w:val="center"/>
          </w:tcPr>
          <w:p w14:paraId="544A50EB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5.5.1.3</w:t>
            </w:r>
          </w:p>
        </w:tc>
        <w:tc>
          <w:tcPr>
            <w:tcW w:w="1552" w:type="dxa"/>
            <w:vAlign w:val="center"/>
          </w:tcPr>
          <w:p w14:paraId="420F19F1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7.2.2.1, 7.2.2.2, 7.2.2.3, 7.2.2.4</w:t>
            </w:r>
          </w:p>
        </w:tc>
        <w:tc>
          <w:tcPr>
            <w:tcW w:w="5253" w:type="dxa"/>
          </w:tcPr>
          <w:p w14:paraId="586312D5" w14:textId="42820B40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Validation des procédures analytiques</w:t>
            </w:r>
          </w:p>
        </w:tc>
        <w:tc>
          <w:tcPr>
            <w:tcW w:w="1085" w:type="dxa"/>
          </w:tcPr>
          <w:p w14:paraId="6BD65EE0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7B57B017" w14:textId="77777777" w:rsidTr="00630715">
        <w:tc>
          <w:tcPr>
            <w:tcW w:w="1126" w:type="dxa"/>
            <w:vAlign w:val="center"/>
          </w:tcPr>
          <w:p w14:paraId="73D98B10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5.5.1.4</w:t>
            </w:r>
          </w:p>
        </w:tc>
        <w:tc>
          <w:tcPr>
            <w:tcW w:w="1552" w:type="dxa"/>
            <w:vAlign w:val="center"/>
          </w:tcPr>
          <w:p w14:paraId="7BB8E1F0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7.6.1, 7.6.3</w:t>
            </w:r>
          </w:p>
        </w:tc>
        <w:tc>
          <w:tcPr>
            <w:tcW w:w="5253" w:type="dxa"/>
          </w:tcPr>
          <w:p w14:paraId="7EC0C193" w14:textId="11F669CC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Incertitude de mesure et grandeurs mesurées </w:t>
            </w:r>
          </w:p>
        </w:tc>
        <w:tc>
          <w:tcPr>
            <w:tcW w:w="1085" w:type="dxa"/>
          </w:tcPr>
          <w:p w14:paraId="43CF1B50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408AC56F" w14:textId="77777777" w:rsidTr="00630715">
        <w:tc>
          <w:tcPr>
            <w:tcW w:w="1126" w:type="dxa"/>
            <w:vAlign w:val="center"/>
          </w:tcPr>
          <w:p w14:paraId="6E0B4F00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5.5.2</w:t>
            </w:r>
          </w:p>
        </w:tc>
        <w:tc>
          <w:tcPr>
            <w:tcW w:w="1552" w:type="dxa"/>
            <w:vAlign w:val="center"/>
          </w:tcPr>
          <w:p w14:paraId="42E29B86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3" w:type="dxa"/>
          </w:tcPr>
          <w:p w14:paraId="0A754C82" w14:textId="35457EE4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Intervalles de référence biologique ou valeurs de décision clinique</w:t>
            </w:r>
          </w:p>
        </w:tc>
        <w:tc>
          <w:tcPr>
            <w:tcW w:w="1085" w:type="dxa"/>
          </w:tcPr>
          <w:p w14:paraId="5104CF1F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174F1CAE" w14:textId="77777777" w:rsidTr="00630715">
        <w:tc>
          <w:tcPr>
            <w:tcW w:w="1126" w:type="dxa"/>
            <w:vAlign w:val="center"/>
          </w:tcPr>
          <w:p w14:paraId="26C4FFC1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5.5.3</w:t>
            </w:r>
          </w:p>
        </w:tc>
        <w:tc>
          <w:tcPr>
            <w:tcW w:w="1552" w:type="dxa"/>
            <w:vAlign w:val="center"/>
          </w:tcPr>
          <w:p w14:paraId="6E944D14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7.2.1.2</w:t>
            </w:r>
          </w:p>
        </w:tc>
        <w:tc>
          <w:tcPr>
            <w:tcW w:w="5253" w:type="dxa"/>
          </w:tcPr>
          <w:p w14:paraId="4A5DDA6C" w14:textId="4621CB1E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Documentation des procédures analytiques</w:t>
            </w:r>
          </w:p>
        </w:tc>
        <w:tc>
          <w:tcPr>
            <w:tcW w:w="1085" w:type="dxa"/>
          </w:tcPr>
          <w:p w14:paraId="0D913947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49EE3965" w14:textId="77777777" w:rsidTr="00630715">
        <w:tc>
          <w:tcPr>
            <w:tcW w:w="1126" w:type="dxa"/>
            <w:vAlign w:val="center"/>
          </w:tcPr>
          <w:p w14:paraId="510C086A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55ABB61B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7.2.1.1</w:t>
            </w:r>
          </w:p>
        </w:tc>
        <w:tc>
          <w:tcPr>
            <w:tcW w:w="5253" w:type="dxa"/>
          </w:tcPr>
          <w:p w14:paraId="3775FD5B" w14:textId="6D5B1B63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Méthodes et procédures appropriées pour les activités de laboratoire, l’évaluation de l’incertitude de mesure et les techniques statistiques utilisées pour l’analyse de données</w:t>
            </w:r>
          </w:p>
        </w:tc>
        <w:tc>
          <w:tcPr>
            <w:tcW w:w="1085" w:type="dxa"/>
          </w:tcPr>
          <w:p w14:paraId="448553D7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1999F67C" w14:textId="77777777" w:rsidTr="00630715">
        <w:tc>
          <w:tcPr>
            <w:tcW w:w="1126" w:type="dxa"/>
            <w:vAlign w:val="center"/>
          </w:tcPr>
          <w:p w14:paraId="531CACCF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0E1E683B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7.2.1.3</w:t>
            </w:r>
          </w:p>
        </w:tc>
        <w:tc>
          <w:tcPr>
            <w:tcW w:w="5253" w:type="dxa"/>
          </w:tcPr>
          <w:p w14:paraId="3F91498B" w14:textId="5B369967" w:rsidR="0098768F" w:rsidRPr="00F33853" w:rsidRDefault="0098768F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Utilisation de la dernière version valide d’une méthode</w:t>
            </w:r>
          </w:p>
        </w:tc>
        <w:tc>
          <w:tcPr>
            <w:tcW w:w="1085" w:type="dxa"/>
          </w:tcPr>
          <w:p w14:paraId="43BF367B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084D5201" w14:textId="77777777" w:rsidTr="00630715">
        <w:tc>
          <w:tcPr>
            <w:tcW w:w="1126" w:type="dxa"/>
            <w:vAlign w:val="center"/>
          </w:tcPr>
          <w:p w14:paraId="4291B8CE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6B6B94CB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7.2.1.4</w:t>
            </w:r>
          </w:p>
        </w:tc>
        <w:tc>
          <w:tcPr>
            <w:tcW w:w="5253" w:type="dxa"/>
          </w:tcPr>
          <w:p w14:paraId="19382769" w14:textId="58A7E8BF" w:rsidR="0098768F" w:rsidRPr="00F33853" w:rsidRDefault="0098768F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Sélection de la méthode appropriée et information au client</w:t>
            </w:r>
          </w:p>
        </w:tc>
        <w:tc>
          <w:tcPr>
            <w:tcW w:w="1085" w:type="dxa"/>
          </w:tcPr>
          <w:p w14:paraId="1A4C9DC5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34F1D843" w14:textId="77777777" w:rsidTr="00630715">
        <w:tc>
          <w:tcPr>
            <w:tcW w:w="1126" w:type="dxa"/>
            <w:vAlign w:val="center"/>
          </w:tcPr>
          <w:p w14:paraId="194FB620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220AA139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7.2.1.5</w:t>
            </w:r>
          </w:p>
        </w:tc>
        <w:tc>
          <w:tcPr>
            <w:tcW w:w="5253" w:type="dxa"/>
          </w:tcPr>
          <w:p w14:paraId="0CD7D902" w14:textId="3C98C98B" w:rsidR="0098768F" w:rsidRPr="00F33853" w:rsidRDefault="0098768F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Vérification des méthodes et enregistrements de ces vérifications</w:t>
            </w:r>
          </w:p>
        </w:tc>
        <w:tc>
          <w:tcPr>
            <w:tcW w:w="1085" w:type="dxa"/>
          </w:tcPr>
          <w:p w14:paraId="4FACD846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4B44E0A8" w14:textId="77777777" w:rsidTr="00630715">
        <w:tc>
          <w:tcPr>
            <w:tcW w:w="1126" w:type="dxa"/>
            <w:vAlign w:val="center"/>
          </w:tcPr>
          <w:p w14:paraId="3D024C38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1C32DDEF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7.2.1.6</w:t>
            </w:r>
          </w:p>
        </w:tc>
        <w:tc>
          <w:tcPr>
            <w:tcW w:w="5253" w:type="dxa"/>
          </w:tcPr>
          <w:p w14:paraId="6678C847" w14:textId="4C78B163" w:rsidR="0098768F" w:rsidRPr="00F33853" w:rsidRDefault="0098768F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Lorsque le planification du développement des méthodes par le personnel compétent</w:t>
            </w:r>
          </w:p>
        </w:tc>
        <w:tc>
          <w:tcPr>
            <w:tcW w:w="1085" w:type="dxa"/>
          </w:tcPr>
          <w:p w14:paraId="42A83D4F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5F9985DF" w14:textId="77777777" w:rsidTr="00630715">
        <w:tc>
          <w:tcPr>
            <w:tcW w:w="1126" w:type="dxa"/>
            <w:vAlign w:val="center"/>
          </w:tcPr>
          <w:p w14:paraId="2C6B6885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2F9587D7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7.2.1.7</w:t>
            </w:r>
          </w:p>
        </w:tc>
        <w:tc>
          <w:tcPr>
            <w:tcW w:w="5253" w:type="dxa"/>
          </w:tcPr>
          <w:p w14:paraId="16890E90" w14:textId="4D39FF47" w:rsidR="0098768F" w:rsidRPr="00F33853" w:rsidRDefault="0098768F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Documentation, justification sur le plan technique, autorisation, et accord par le client des écarts par rapport aux méthodes</w:t>
            </w:r>
          </w:p>
        </w:tc>
        <w:tc>
          <w:tcPr>
            <w:tcW w:w="1085" w:type="dxa"/>
          </w:tcPr>
          <w:p w14:paraId="23005A6B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726249C3" w14:textId="77777777" w:rsidTr="00630715">
        <w:tc>
          <w:tcPr>
            <w:tcW w:w="1126" w:type="dxa"/>
            <w:vAlign w:val="center"/>
          </w:tcPr>
          <w:p w14:paraId="1FB1B566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7F88C76B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7.6.2</w:t>
            </w:r>
          </w:p>
        </w:tc>
        <w:tc>
          <w:tcPr>
            <w:tcW w:w="5253" w:type="dxa"/>
          </w:tcPr>
          <w:p w14:paraId="3D574B02" w14:textId="4503183D" w:rsidR="0098768F" w:rsidRPr="00F33853" w:rsidRDefault="0098768F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Évaluation de l’incertitude de mesure pour l’étalonnage</w:t>
            </w:r>
          </w:p>
        </w:tc>
        <w:tc>
          <w:tcPr>
            <w:tcW w:w="1085" w:type="dxa"/>
          </w:tcPr>
          <w:p w14:paraId="58E55E5F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</w:tbl>
    <w:p w14:paraId="332CA92E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53631790" w14:textId="77777777" w:rsidR="0000259C" w:rsidRPr="00F33853" w:rsidRDefault="0000259C" w:rsidP="0000259C">
      <w:pPr>
        <w:rPr>
          <w:lang w:val="fr-BE"/>
        </w:rPr>
      </w:pPr>
    </w:p>
    <w:p w14:paraId="1B8BBE97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41CCCB1E" w14:textId="77777777" w:rsidR="0000259C" w:rsidRPr="00F33853" w:rsidRDefault="0000259C" w:rsidP="000D7086">
      <w:pPr>
        <w:rPr>
          <w:lang w:val="fr-BE"/>
        </w:rPr>
      </w:pPr>
    </w:p>
    <w:p w14:paraId="19DE327D" w14:textId="42857F86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5.6: Garantie de qualité des résultats</w:t>
      </w:r>
    </w:p>
    <w:p w14:paraId="2CDE580E" w14:textId="77777777" w:rsidR="0098768F" w:rsidRPr="00F33853" w:rsidRDefault="0098768F" w:rsidP="0098768F">
      <w:pPr>
        <w:pStyle w:val="Kop4"/>
        <w:rPr>
          <w:lang w:val="fr-BE"/>
        </w:rPr>
      </w:pPr>
      <w:r w:rsidRPr="00F33853">
        <w:rPr>
          <w:lang w:val="fr-BE"/>
        </w:rPr>
        <w:t>EN ISO/IEC 17025:2017 § 7.7: Assurer la validité des résultats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0"/>
        <w:gridCol w:w="5255"/>
        <w:gridCol w:w="1085"/>
      </w:tblGrid>
      <w:tr w:rsidR="00DD2CED" w:rsidRPr="00F33853" w14:paraId="32EB9BA6" w14:textId="77777777" w:rsidTr="00630715">
        <w:tc>
          <w:tcPr>
            <w:tcW w:w="2676" w:type="dxa"/>
            <w:gridSpan w:val="2"/>
            <w:vAlign w:val="center"/>
          </w:tcPr>
          <w:p w14:paraId="67FB12EE" w14:textId="1C32324A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261216FE" w14:textId="6C0941DF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1F08E2A5" w14:textId="05152EB5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0A6F77E1" w14:textId="77777777" w:rsidTr="00630715">
        <w:tc>
          <w:tcPr>
            <w:tcW w:w="1126" w:type="dxa"/>
            <w:vAlign w:val="center"/>
          </w:tcPr>
          <w:p w14:paraId="13BF02A1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0" w:type="dxa"/>
            <w:vAlign w:val="center"/>
          </w:tcPr>
          <w:p w14:paraId="21D48D5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5" w:type="dxa"/>
            <w:vMerge/>
          </w:tcPr>
          <w:p w14:paraId="72400F6F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1E9D0FAF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EA68B9" w14:paraId="275B1950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7156BB44" w14:textId="47911748" w:rsidR="0000259C" w:rsidRPr="00294B21" w:rsidRDefault="00A06569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>Garantie de qualité des résultats</w:t>
            </w:r>
          </w:p>
        </w:tc>
      </w:tr>
      <w:tr w:rsidR="00630715" w:rsidRPr="00F33853" w14:paraId="4FE06A0A" w14:textId="77777777" w:rsidTr="00630715">
        <w:tc>
          <w:tcPr>
            <w:tcW w:w="1126" w:type="dxa"/>
            <w:vAlign w:val="center"/>
          </w:tcPr>
          <w:p w14:paraId="6CE6E468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5.6.1</w:t>
            </w:r>
          </w:p>
        </w:tc>
        <w:tc>
          <w:tcPr>
            <w:tcW w:w="1550" w:type="dxa"/>
            <w:vAlign w:val="center"/>
          </w:tcPr>
          <w:p w14:paraId="70D55B85" w14:textId="77777777" w:rsidR="00630715" w:rsidRPr="00F33853" w:rsidRDefault="00630715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7.7.1</w:t>
            </w:r>
          </w:p>
        </w:tc>
        <w:tc>
          <w:tcPr>
            <w:tcW w:w="5255" w:type="dxa"/>
          </w:tcPr>
          <w:p w14:paraId="4424F354" w14:textId="2F3FF88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5897BAA6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0575E6EF" w14:textId="77777777" w:rsidTr="00630715">
        <w:tc>
          <w:tcPr>
            <w:tcW w:w="1126" w:type="dxa"/>
            <w:vAlign w:val="center"/>
          </w:tcPr>
          <w:p w14:paraId="6F50E582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5.6.2.1</w:t>
            </w:r>
          </w:p>
        </w:tc>
        <w:tc>
          <w:tcPr>
            <w:tcW w:w="1550" w:type="dxa"/>
            <w:vAlign w:val="center"/>
          </w:tcPr>
          <w:p w14:paraId="0D81B14D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7.7.1</w:t>
            </w:r>
          </w:p>
        </w:tc>
        <w:tc>
          <w:tcPr>
            <w:tcW w:w="5255" w:type="dxa"/>
          </w:tcPr>
          <w:p w14:paraId="437BA13A" w14:textId="442E114F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Contrôle qualité : généralités</w:t>
            </w:r>
          </w:p>
        </w:tc>
        <w:tc>
          <w:tcPr>
            <w:tcW w:w="1085" w:type="dxa"/>
          </w:tcPr>
          <w:p w14:paraId="78E50822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508A35D5" w14:textId="77777777" w:rsidTr="00630715">
        <w:tc>
          <w:tcPr>
            <w:tcW w:w="1126" w:type="dxa"/>
            <w:vAlign w:val="center"/>
          </w:tcPr>
          <w:p w14:paraId="17290591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5.6.2.2</w:t>
            </w:r>
          </w:p>
        </w:tc>
        <w:tc>
          <w:tcPr>
            <w:tcW w:w="1550" w:type="dxa"/>
            <w:vAlign w:val="center"/>
          </w:tcPr>
          <w:p w14:paraId="1BC73BA2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7.7.1</w:t>
            </w:r>
          </w:p>
        </w:tc>
        <w:tc>
          <w:tcPr>
            <w:tcW w:w="5255" w:type="dxa"/>
          </w:tcPr>
          <w:p w14:paraId="454772EB" w14:textId="365ADB5E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Matériaux de contrôle qualité</w:t>
            </w:r>
          </w:p>
        </w:tc>
        <w:tc>
          <w:tcPr>
            <w:tcW w:w="1085" w:type="dxa"/>
          </w:tcPr>
          <w:p w14:paraId="61107CA2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3828F332" w14:textId="77777777" w:rsidTr="00630715">
        <w:tc>
          <w:tcPr>
            <w:tcW w:w="1126" w:type="dxa"/>
            <w:vAlign w:val="center"/>
          </w:tcPr>
          <w:p w14:paraId="61400431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5.6.2.3</w:t>
            </w:r>
          </w:p>
        </w:tc>
        <w:tc>
          <w:tcPr>
            <w:tcW w:w="1550" w:type="dxa"/>
            <w:vAlign w:val="center"/>
          </w:tcPr>
          <w:p w14:paraId="6FEDC781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7.7.1, 7.7.3</w:t>
            </w:r>
          </w:p>
        </w:tc>
        <w:tc>
          <w:tcPr>
            <w:tcW w:w="5255" w:type="dxa"/>
          </w:tcPr>
          <w:p w14:paraId="100B9BCC" w14:textId="569E6C8E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Données du contrôle qualité</w:t>
            </w:r>
          </w:p>
        </w:tc>
        <w:tc>
          <w:tcPr>
            <w:tcW w:w="1085" w:type="dxa"/>
          </w:tcPr>
          <w:p w14:paraId="2864A55F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42758D7E" w14:textId="77777777" w:rsidTr="00630715">
        <w:tc>
          <w:tcPr>
            <w:tcW w:w="1126" w:type="dxa"/>
            <w:vAlign w:val="center"/>
          </w:tcPr>
          <w:p w14:paraId="16069C29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5.6.3.1</w:t>
            </w:r>
          </w:p>
        </w:tc>
        <w:tc>
          <w:tcPr>
            <w:tcW w:w="1550" w:type="dxa"/>
            <w:vAlign w:val="center"/>
          </w:tcPr>
          <w:p w14:paraId="16A17FF4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7.7.2, 7.7.3</w:t>
            </w:r>
          </w:p>
        </w:tc>
        <w:tc>
          <w:tcPr>
            <w:tcW w:w="5255" w:type="dxa"/>
          </w:tcPr>
          <w:p w14:paraId="4CB669D0" w14:textId="16B76166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Comparaisons </w:t>
            </w:r>
            <w:proofErr w:type="spellStart"/>
            <w:r w:rsidRPr="00F33853">
              <w:rPr>
                <w:lang w:val="fr-BE"/>
              </w:rPr>
              <w:t>interlaboratoires</w:t>
            </w:r>
            <w:proofErr w:type="spellEnd"/>
            <w:r w:rsidRPr="00F33853">
              <w:rPr>
                <w:lang w:val="fr-BE"/>
              </w:rPr>
              <w:t> : participation</w:t>
            </w:r>
          </w:p>
        </w:tc>
        <w:tc>
          <w:tcPr>
            <w:tcW w:w="1085" w:type="dxa"/>
          </w:tcPr>
          <w:p w14:paraId="0D0636EB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59ED3619" w14:textId="77777777" w:rsidTr="00630715">
        <w:tc>
          <w:tcPr>
            <w:tcW w:w="1126" w:type="dxa"/>
            <w:vAlign w:val="center"/>
          </w:tcPr>
          <w:p w14:paraId="32C1F67D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5.6.3.2</w:t>
            </w:r>
          </w:p>
        </w:tc>
        <w:tc>
          <w:tcPr>
            <w:tcW w:w="1550" w:type="dxa"/>
            <w:vAlign w:val="center"/>
          </w:tcPr>
          <w:p w14:paraId="5619D979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7.7.2</w:t>
            </w:r>
          </w:p>
        </w:tc>
        <w:tc>
          <w:tcPr>
            <w:tcW w:w="5255" w:type="dxa"/>
          </w:tcPr>
          <w:p w14:paraId="38B8DC69" w14:textId="1420496B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Comparaisons </w:t>
            </w:r>
            <w:proofErr w:type="spellStart"/>
            <w:r w:rsidRPr="00F33853">
              <w:rPr>
                <w:lang w:val="fr-BE"/>
              </w:rPr>
              <w:t>interlaboratoires</w:t>
            </w:r>
            <w:proofErr w:type="spellEnd"/>
            <w:r w:rsidRPr="00F33853">
              <w:rPr>
                <w:lang w:val="fr-BE"/>
              </w:rPr>
              <w:t> : autres approches</w:t>
            </w:r>
          </w:p>
        </w:tc>
        <w:tc>
          <w:tcPr>
            <w:tcW w:w="1085" w:type="dxa"/>
          </w:tcPr>
          <w:p w14:paraId="26EC7FBD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6A95A8DF" w14:textId="77777777" w:rsidTr="00630715">
        <w:tc>
          <w:tcPr>
            <w:tcW w:w="1126" w:type="dxa"/>
            <w:vAlign w:val="center"/>
          </w:tcPr>
          <w:p w14:paraId="7C413F03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5.6.3.3</w:t>
            </w:r>
          </w:p>
        </w:tc>
        <w:tc>
          <w:tcPr>
            <w:tcW w:w="1550" w:type="dxa"/>
            <w:vAlign w:val="center"/>
          </w:tcPr>
          <w:p w14:paraId="6E1B3F70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5" w:type="dxa"/>
          </w:tcPr>
          <w:p w14:paraId="265D9484" w14:textId="35AD4CA9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Comparaisons </w:t>
            </w:r>
            <w:proofErr w:type="spellStart"/>
            <w:r w:rsidRPr="00F33853">
              <w:rPr>
                <w:lang w:val="fr-BE"/>
              </w:rPr>
              <w:t>interlaboratoires</w:t>
            </w:r>
            <w:proofErr w:type="spellEnd"/>
            <w:r w:rsidRPr="00F33853">
              <w:rPr>
                <w:lang w:val="fr-BE"/>
              </w:rPr>
              <w:t xml:space="preserve"> : analyse des échantillons de comparaison </w:t>
            </w:r>
            <w:proofErr w:type="spellStart"/>
            <w:r w:rsidRPr="00F33853">
              <w:rPr>
                <w:lang w:val="fr-BE"/>
              </w:rPr>
              <w:t>interlaboratoires</w:t>
            </w:r>
            <w:proofErr w:type="spellEnd"/>
          </w:p>
        </w:tc>
        <w:tc>
          <w:tcPr>
            <w:tcW w:w="1085" w:type="dxa"/>
          </w:tcPr>
          <w:p w14:paraId="6F1743EC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6AE651FE" w14:textId="77777777" w:rsidTr="00630715">
        <w:tc>
          <w:tcPr>
            <w:tcW w:w="1126" w:type="dxa"/>
            <w:vAlign w:val="center"/>
          </w:tcPr>
          <w:p w14:paraId="0A7C61D6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5.6.3.4</w:t>
            </w:r>
          </w:p>
        </w:tc>
        <w:tc>
          <w:tcPr>
            <w:tcW w:w="1550" w:type="dxa"/>
            <w:vAlign w:val="center"/>
          </w:tcPr>
          <w:p w14:paraId="60C1F4A7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7.7.3</w:t>
            </w:r>
          </w:p>
        </w:tc>
        <w:tc>
          <w:tcPr>
            <w:tcW w:w="5255" w:type="dxa"/>
          </w:tcPr>
          <w:p w14:paraId="0BD3A76D" w14:textId="5462D17A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 xml:space="preserve">Comparaisons </w:t>
            </w:r>
            <w:proofErr w:type="spellStart"/>
            <w:r w:rsidRPr="00F33853">
              <w:rPr>
                <w:lang w:val="fr-BE"/>
              </w:rPr>
              <w:t>interlaboratoires</w:t>
            </w:r>
            <w:proofErr w:type="spellEnd"/>
            <w:r w:rsidRPr="00F33853">
              <w:rPr>
                <w:lang w:val="fr-BE"/>
              </w:rPr>
              <w:t> : évaluation de la performance du laboratoire</w:t>
            </w:r>
          </w:p>
        </w:tc>
        <w:tc>
          <w:tcPr>
            <w:tcW w:w="1085" w:type="dxa"/>
          </w:tcPr>
          <w:p w14:paraId="51CAC4A2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54555062" w14:textId="77777777" w:rsidTr="00630715">
        <w:tc>
          <w:tcPr>
            <w:tcW w:w="1126" w:type="dxa"/>
            <w:vAlign w:val="center"/>
          </w:tcPr>
          <w:p w14:paraId="20E460A1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5.6.4</w:t>
            </w:r>
          </w:p>
        </w:tc>
        <w:tc>
          <w:tcPr>
            <w:tcW w:w="1550" w:type="dxa"/>
            <w:vAlign w:val="center"/>
          </w:tcPr>
          <w:p w14:paraId="745BD4EE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7.7.1</w:t>
            </w:r>
          </w:p>
        </w:tc>
        <w:tc>
          <w:tcPr>
            <w:tcW w:w="5255" w:type="dxa"/>
          </w:tcPr>
          <w:p w14:paraId="0204A381" w14:textId="6E0B063E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Comparabilité des résultats d’examens</w:t>
            </w:r>
          </w:p>
        </w:tc>
        <w:tc>
          <w:tcPr>
            <w:tcW w:w="1085" w:type="dxa"/>
          </w:tcPr>
          <w:p w14:paraId="070134DA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</w:tbl>
    <w:p w14:paraId="632B74C5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152B9983" w14:textId="77777777" w:rsidR="0000259C" w:rsidRPr="00F33853" w:rsidRDefault="0000259C" w:rsidP="0000259C">
      <w:pPr>
        <w:rPr>
          <w:lang w:val="fr-BE"/>
        </w:rPr>
      </w:pPr>
    </w:p>
    <w:p w14:paraId="44ACF84D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lastRenderedPageBreak/>
        <w:t>Description générale des constatations y compris référence aux éventuelles non-conformités :</w:t>
      </w:r>
    </w:p>
    <w:p w14:paraId="4AFD224F" w14:textId="77777777" w:rsidR="0000259C" w:rsidRPr="00F33853" w:rsidRDefault="0000259C" w:rsidP="000D7086">
      <w:pPr>
        <w:rPr>
          <w:lang w:val="fr-BE"/>
        </w:rPr>
      </w:pPr>
    </w:p>
    <w:p w14:paraId="2125F4FC" w14:textId="634F94E0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5.7: </w:t>
      </w:r>
      <w:r w:rsidRPr="00F33853">
        <w:rPr>
          <w:rFonts w:eastAsia="Calibri"/>
          <w:color w:val="000000"/>
          <w:szCs w:val="24"/>
          <w:lang w:val="fr-BE"/>
        </w:rPr>
        <w:t>Processus post-analytiques</w:t>
      </w:r>
    </w:p>
    <w:p w14:paraId="1706ABF8" w14:textId="5192F1D1" w:rsidR="0098768F" w:rsidRPr="00F33853" w:rsidRDefault="0098768F" w:rsidP="00604F01">
      <w:pPr>
        <w:pStyle w:val="Kop4"/>
        <w:ind w:left="0" w:firstLine="0"/>
        <w:rPr>
          <w:lang w:val="fr-BE"/>
        </w:rPr>
      </w:pPr>
      <w:r w:rsidRPr="00F33853">
        <w:rPr>
          <w:lang w:val="fr-BE"/>
        </w:rPr>
        <w:t>EN ISO/IEC 17025:2017 § 7.4: Manutention des objets d’essai ou d'étalonnage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7.7: Assurer la validité des résultats</w:t>
      </w:r>
      <w:r w:rsidR="00604F01" w:rsidRPr="00F33853">
        <w:rPr>
          <w:lang w:val="fr-BE"/>
        </w:rPr>
        <w:t xml:space="preserve"> - </w:t>
      </w:r>
      <w:r w:rsidRPr="00F33853">
        <w:rPr>
          <w:lang w:val="fr-BE"/>
        </w:rPr>
        <w:t>7.8.1: Rapport sur les résultats: généralités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5254"/>
        <w:gridCol w:w="1085"/>
      </w:tblGrid>
      <w:tr w:rsidR="00DD2CED" w:rsidRPr="00F33853" w14:paraId="78D9EF3F" w14:textId="77777777" w:rsidTr="00630715">
        <w:tc>
          <w:tcPr>
            <w:tcW w:w="2677" w:type="dxa"/>
            <w:gridSpan w:val="2"/>
            <w:vAlign w:val="center"/>
          </w:tcPr>
          <w:p w14:paraId="6F2233B9" w14:textId="7EBFF48B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4" w:type="dxa"/>
            <w:vMerge w:val="restart"/>
            <w:vAlign w:val="center"/>
          </w:tcPr>
          <w:p w14:paraId="0E273E51" w14:textId="1E074C8D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128E5184" w14:textId="28052616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6E330387" w14:textId="77777777" w:rsidTr="00630715">
        <w:tc>
          <w:tcPr>
            <w:tcW w:w="1125" w:type="dxa"/>
            <w:vAlign w:val="center"/>
          </w:tcPr>
          <w:p w14:paraId="5BBC29DD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2" w:type="dxa"/>
            <w:vAlign w:val="center"/>
          </w:tcPr>
          <w:p w14:paraId="5C9EE55D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4" w:type="dxa"/>
            <w:vMerge/>
          </w:tcPr>
          <w:p w14:paraId="56D21812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54F24AF9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4E82EB6A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361B406A" w14:textId="5C6A28C2" w:rsidR="0000259C" w:rsidRPr="00F33853" w:rsidRDefault="00A06569" w:rsidP="00F33853">
            <w:pPr>
              <w:pStyle w:val="Tabeltitel"/>
            </w:pPr>
            <w:proofErr w:type="spellStart"/>
            <w:r w:rsidRPr="00F33853">
              <w:t>Processus</w:t>
            </w:r>
            <w:proofErr w:type="spellEnd"/>
            <w:r w:rsidRPr="00F33853">
              <w:t xml:space="preserve"> post-</w:t>
            </w:r>
            <w:proofErr w:type="spellStart"/>
            <w:r w:rsidRPr="00F33853">
              <w:t>analytiques</w:t>
            </w:r>
            <w:proofErr w:type="spellEnd"/>
          </w:p>
        </w:tc>
      </w:tr>
      <w:tr w:rsidR="00630715" w:rsidRPr="00F33853" w14:paraId="7127DE9E" w14:textId="77777777" w:rsidTr="00630715">
        <w:tc>
          <w:tcPr>
            <w:tcW w:w="1125" w:type="dxa"/>
            <w:vAlign w:val="center"/>
          </w:tcPr>
          <w:p w14:paraId="0F8E113C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5.7.1</w:t>
            </w:r>
          </w:p>
        </w:tc>
        <w:tc>
          <w:tcPr>
            <w:tcW w:w="1552" w:type="dxa"/>
            <w:vAlign w:val="center"/>
          </w:tcPr>
          <w:p w14:paraId="5837E876" w14:textId="77777777" w:rsidR="00630715" w:rsidRPr="00F33853" w:rsidRDefault="00630715" w:rsidP="00F33853">
            <w:pPr>
              <w:pStyle w:val="Tabelinhoud"/>
              <w:rPr>
                <w:color w:val="000000"/>
                <w:lang w:val="fr-BE" w:eastAsia="nl-NL"/>
              </w:rPr>
            </w:pPr>
            <w:r w:rsidRPr="00F33853">
              <w:rPr>
                <w:lang w:val="fr-BE"/>
              </w:rPr>
              <w:t>7.7.1, 7.8.1.1</w:t>
            </w:r>
          </w:p>
        </w:tc>
        <w:tc>
          <w:tcPr>
            <w:tcW w:w="5254" w:type="dxa"/>
          </w:tcPr>
          <w:p w14:paraId="73DDE383" w14:textId="21B92978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Revue des résultats</w:t>
            </w:r>
          </w:p>
        </w:tc>
        <w:tc>
          <w:tcPr>
            <w:tcW w:w="1085" w:type="dxa"/>
          </w:tcPr>
          <w:p w14:paraId="226E00F8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06CEF5DD" w14:textId="77777777" w:rsidTr="00630715">
        <w:tc>
          <w:tcPr>
            <w:tcW w:w="1125" w:type="dxa"/>
            <w:vAlign w:val="center"/>
          </w:tcPr>
          <w:p w14:paraId="219439E7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5.7.2</w:t>
            </w:r>
          </w:p>
        </w:tc>
        <w:tc>
          <w:tcPr>
            <w:tcW w:w="1552" w:type="dxa"/>
            <w:vAlign w:val="center"/>
          </w:tcPr>
          <w:p w14:paraId="4E7E18FA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7.4.1, 7.4.2, 7.4.3, 7.4.4</w:t>
            </w:r>
          </w:p>
        </w:tc>
        <w:tc>
          <w:tcPr>
            <w:tcW w:w="5254" w:type="dxa"/>
          </w:tcPr>
          <w:p w14:paraId="5691024A" w14:textId="5778B26A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Entreposage, conservation et élimination des échantillons biologiques</w:t>
            </w:r>
          </w:p>
        </w:tc>
        <w:tc>
          <w:tcPr>
            <w:tcW w:w="1085" w:type="dxa"/>
          </w:tcPr>
          <w:p w14:paraId="1411B810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</w:tbl>
    <w:p w14:paraId="6F119C75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11AC15B0" w14:textId="77777777" w:rsidR="0000259C" w:rsidRPr="00F33853" w:rsidRDefault="0000259C" w:rsidP="0000259C">
      <w:pPr>
        <w:rPr>
          <w:lang w:val="fr-BE"/>
        </w:rPr>
      </w:pPr>
    </w:p>
    <w:p w14:paraId="11C8CB0B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44EF639F" w14:textId="77777777" w:rsidR="0000259C" w:rsidRPr="00F33853" w:rsidRDefault="0000259C" w:rsidP="000D7086">
      <w:pPr>
        <w:rPr>
          <w:lang w:val="fr-BE"/>
        </w:rPr>
      </w:pPr>
    </w:p>
    <w:p w14:paraId="27AA2336" w14:textId="07AF5ED5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>§ 5.8: Compte rendu des résultats</w:t>
      </w:r>
    </w:p>
    <w:p w14:paraId="7A6FC867" w14:textId="77777777" w:rsidR="0098768F" w:rsidRPr="00F33853" w:rsidRDefault="0098768F" w:rsidP="0098768F">
      <w:pPr>
        <w:pStyle w:val="Kop4"/>
        <w:rPr>
          <w:lang w:val="fr-BE"/>
        </w:rPr>
      </w:pPr>
      <w:r w:rsidRPr="00F33853">
        <w:rPr>
          <w:lang w:val="fr-BE"/>
        </w:rPr>
        <w:t>EN ISO/IEC 17025:2017 § 7.8: Rapport sur les résultats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5147"/>
        <w:gridCol w:w="1180"/>
      </w:tblGrid>
      <w:tr w:rsidR="00DD2CED" w:rsidRPr="00F33853" w14:paraId="17B9B5A4" w14:textId="77777777" w:rsidTr="00A67AD7">
        <w:tc>
          <w:tcPr>
            <w:tcW w:w="2689" w:type="dxa"/>
            <w:gridSpan w:val="2"/>
            <w:vAlign w:val="center"/>
          </w:tcPr>
          <w:p w14:paraId="271C02CA" w14:textId="41BBF442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147" w:type="dxa"/>
            <w:vMerge w:val="restart"/>
            <w:vAlign w:val="center"/>
          </w:tcPr>
          <w:p w14:paraId="78A3B5A1" w14:textId="217BFD67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180" w:type="dxa"/>
            <w:vMerge w:val="restart"/>
            <w:vAlign w:val="center"/>
          </w:tcPr>
          <w:p w14:paraId="3B7BCECF" w14:textId="3B08C5AC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0F39FE84" w14:textId="77777777" w:rsidTr="00A67AD7">
        <w:tc>
          <w:tcPr>
            <w:tcW w:w="1129" w:type="dxa"/>
            <w:vAlign w:val="center"/>
          </w:tcPr>
          <w:p w14:paraId="4A7A1145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60" w:type="dxa"/>
            <w:vAlign w:val="center"/>
          </w:tcPr>
          <w:p w14:paraId="47F562DA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147" w:type="dxa"/>
            <w:vMerge/>
          </w:tcPr>
          <w:p w14:paraId="2BDE166B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180" w:type="dxa"/>
            <w:vMerge/>
          </w:tcPr>
          <w:p w14:paraId="020EDCD1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12879B9E" w14:textId="77777777" w:rsidTr="00A67AD7"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3EE5D776" w14:textId="2C9DC780" w:rsidR="0000259C" w:rsidRPr="00F33853" w:rsidRDefault="00A06569" w:rsidP="00F33853">
            <w:pPr>
              <w:pStyle w:val="Tabeltitel"/>
            </w:pPr>
            <w:proofErr w:type="spellStart"/>
            <w:r w:rsidRPr="00F33853">
              <w:t>Compte</w:t>
            </w:r>
            <w:proofErr w:type="spellEnd"/>
            <w:r w:rsidRPr="00F33853">
              <w:t xml:space="preserve"> </w:t>
            </w:r>
            <w:proofErr w:type="spellStart"/>
            <w:r w:rsidRPr="00F33853">
              <w:t>rendu</w:t>
            </w:r>
            <w:proofErr w:type="spellEnd"/>
            <w:r w:rsidRPr="00F33853">
              <w:t xml:space="preserve"> des </w:t>
            </w:r>
            <w:proofErr w:type="spellStart"/>
            <w:r w:rsidRPr="00F33853">
              <w:t>résultats</w:t>
            </w:r>
            <w:proofErr w:type="spellEnd"/>
          </w:p>
        </w:tc>
      </w:tr>
      <w:tr w:rsidR="00630715" w:rsidRPr="00F33853" w14:paraId="3E4F9F91" w14:textId="77777777" w:rsidTr="00F44601">
        <w:tc>
          <w:tcPr>
            <w:tcW w:w="1129" w:type="dxa"/>
            <w:vAlign w:val="center"/>
          </w:tcPr>
          <w:p w14:paraId="7769B664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5.8.1</w:t>
            </w:r>
          </w:p>
        </w:tc>
        <w:tc>
          <w:tcPr>
            <w:tcW w:w="1560" w:type="dxa"/>
            <w:vAlign w:val="center"/>
          </w:tcPr>
          <w:p w14:paraId="2D870ACC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7.8.1.2</w:t>
            </w:r>
          </w:p>
        </w:tc>
        <w:tc>
          <w:tcPr>
            <w:tcW w:w="5147" w:type="dxa"/>
          </w:tcPr>
          <w:p w14:paraId="30B60050" w14:textId="68780A6B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180" w:type="dxa"/>
          </w:tcPr>
          <w:p w14:paraId="5136CC7C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0E885F57" w14:textId="77777777" w:rsidTr="00F44601">
        <w:tc>
          <w:tcPr>
            <w:tcW w:w="1129" w:type="dxa"/>
            <w:vAlign w:val="center"/>
          </w:tcPr>
          <w:p w14:paraId="0FA95472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5.8.2</w:t>
            </w:r>
          </w:p>
        </w:tc>
        <w:tc>
          <w:tcPr>
            <w:tcW w:w="1560" w:type="dxa"/>
            <w:vAlign w:val="center"/>
          </w:tcPr>
          <w:p w14:paraId="6E1959ED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7.8.2.2</w:t>
            </w:r>
          </w:p>
        </w:tc>
        <w:tc>
          <w:tcPr>
            <w:tcW w:w="5147" w:type="dxa"/>
          </w:tcPr>
          <w:p w14:paraId="5D9BC1FF" w14:textId="603487B5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Attributs de compte rendu</w:t>
            </w:r>
          </w:p>
        </w:tc>
        <w:tc>
          <w:tcPr>
            <w:tcW w:w="1180" w:type="dxa"/>
          </w:tcPr>
          <w:p w14:paraId="3B6E38DE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6B3CB0A3" w14:textId="77777777" w:rsidTr="00F44601">
        <w:tc>
          <w:tcPr>
            <w:tcW w:w="1129" w:type="dxa"/>
            <w:vAlign w:val="center"/>
          </w:tcPr>
          <w:p w14:paraId="20BE330C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5.8.3</w:t>
            </w:r>
          </w:p>
        </w:tc>
        <w:tc>
          <w:tcPr>
            <w:tcW w:w="1560" w:type="dxa"/>
            <w:vAlign w:val="center"/>
          </w:tcPr>
          <w:p w14:paraId="3BB90DCE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7.8.2.1, 7.8.3.1, 7.8.3.2</w:t>
            </w:r>
          </w:p>
        </w:tc>
        <w:tc>
          <w:tcPr>
            <w:tcW w:w="5147" w:type="dxa"/>
          </w:tcPr>
          <w:p w14:paraId="45536563" w14:textId="5A47069D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Contenu du compte rendu</w:t>
            </w:r>
          </w:p>
        </w:tc>
        <w:tc>
          <w:tcPr>
            <w:tcW w:w="1180" w:type="dxa"/>
          </w:tcPr>
          <w:p w14:paraId="2B6560BB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F33853" w14:paraId="3F521C35" w14:textId="77777777" w:rsidTr="00A67AD7">
        <w:tc>
          <w:tcPr>
            <w:tcW w:w="1129" w:type="dxa"/>
            <w:vAlign w:val="center"/>
          </w:tcPr>
          <w:p w14:paraId="12513ABA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5146BF6C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7.8.1.3</w:t>
            </w:r>
          </w:p>
        </w:tc>
        <w:tc>
          <w:tcPr>
            <w:tcW w:w="5147" w:type="dxa"/>
            <w:vAlign w:val="center"/>
          </w:tcPr>
          <w:p w14:paraId="222A6183" w14:textId="7BE36BDD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Rapportage simplifié</w:t>
            </w:r>
          </w:p>
        </w:tc>
        <w:tc>
          <w:tcPr>
            <w:tcW w:w="1180" w:type="dxa"/>
          </w:tcPr>
          <w:p w14:paraId="4EEB98CF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7BA2A9CE" w14:textId="77777777" w:rsidTr="00A67AD7">
        <w:tc>
          <w:tcPr>
            <w:tcW w:w="1129" w:type="dxa"/>
            <w:vAlign w:val="center"/>
          </w:tcPr>
          <w:p w14:paraId="4C110361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43BB902E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7.8.2.2</w:t>
            </w:r>
          </w:p>
        </w:tc>
        <w:tc>
          <w:tcPr>
            <w:tcW w:w="5147" w:type="dxa"/>
            <w:vAlign w:val="center"/>
          </w:tcPr>
          <w:p w14:paraId="0D971CCA" w14:textId="5EAE0068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Indication claire des responsabilités de chacun pour toutes les informations fournies dans le rapport ou par le client.</w:t>
            </w:r>
          </w:p>
        </w:tc>
        <w:tc>
          <w:tcPr>
            <w:tcW w:w="1180" w:type="dxa"/>
          </w:tcPr>
          <w:p w14:paraId="79383052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2FE160EF" w14:textId="77777777" w:rsidTr="00A67AD7">
        <w:tc>
          <w:tcPr>
            <w:tcW w:w="1129" w:type="dxa"/>
            <w:vAlign w:val="center"/>
          </w:tcPr>
          <w:p w14:paraId="2A5932F5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3B04A2DE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7.8.4.1</w:t>
            </w:r>
          </w:p>
        </w:tc>
        <w:tc>
          <w:tcPr>
            <w:tcW w:w="5147" w:type="dxa"/>
            <w:vAlign w:val="center"/>
          </w:tcPr>
          <w:p w14:paraId="3BE8EB87" w14:textId="54529130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Exigences spécifiques aux certificats d’étalonnage</w:t>
            </w:r>
          </w:p>
        </w:tc>
        <w:tc>
          <w:tcPr>
            <w:tcW w:w="1180" w:type="dxa"/>
          </w:tcPr>
          <w:p w14:paraId="71A05B74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0F301ABF" w14:textId="77777777" w:rsidTr="00A67AD7">
        <w:tc>
          <w:tcPr>
            <w:tcW w:w="1129" w:type="dxa"/>
            <w:vAlign w:val="center"/>
          </w:tcPr>
          <w:p w14:paraId="74508AF6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50EFECE9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7.8.4.2</w:t>
            </w:r>
          </w:p>
        </w:tc>
        <w:tc>
          <w:tcPr>
            <w:tcW w:w="5147" w:type="dxa"/>
            <w:vAlign w:val="center"/>
          </w:tcPr>
          <w:p w14:paraId="1F609611" w14:textId="7E98BE7E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Exigences des certificats d’étalonnage pour l’échantillonnage (voir 7.8.5)</w:t>
            </w:r>
          </w:p>
        </w:tc>
        <w:tc>
          <w:tcPr>
            <w:tcW w:w="1180" w:type="dxa"/>
          </w:tcPr>
          <w:p w14:paraId="5769C179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4029452C" w14:textId="77777777" w:rsidTr="00A67AD7">
        <w:tc>
          <w:tcPr>
            <w:tcW w:w="1129" w:type="dxa"/>
            <w:vAlign w:val="center"/>
          </w:tcPr>
          <w:p w14:paraId="437ED86B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74416233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7.8.4.3</w:t>
            </w:r>
          </w:p>
        </w:tc>
        <w:tc>
          <w:tcPr>
            <w:tcW w:w="5147" w:type="dxa"/>
            <w:vAlign w:val="center"/>
          </w:tcPr>
          <w:p w14:paraId="0B613CDC" w14:textId="44D0E2BB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Interdiction de recommandation concernant l’intervalle d’étalonnage</w:t>
            </w:r>
          </w:p>
        </w:tc>
        <w:tc>
          <w:tcPr>
            <w:tcW w:w="1180" w:type="dxa"/>
          </w:tcPr>
          <w:p w14:paraId="2C6880FD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3D67A4FA" w14:textId="77777777" w:rsidTr="00A67AD7">
        <w:tc>
          <w:tcPr>
            <w:tcW w:w="1129" w:type="dxa"/>
            <w:vAlign w:val="center"/>
          </w:tcPr>
          <w:p w14:paraId="0A4F8BF8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28B95A8C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7.8.5</w:t>
            </w:r>
          </w:p>
        </w:tc>
        <w:tc>
          <w:tcPr>
            <w:tcW w:w="5147" w:type="dxa"/>
            <w:vAlign w:val="center"/>
          </w:tcPr>
          <w:p w14:paraId="69D38233" w14:textId="1C96FC9F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Rendre compte de l’échantillonnage – Exigences spécifiques</w:t>
            </w:r>
          </w:p>
        </w:tc>
        <w:tc>
          <w:tcPr>
            <w:tcW w:w="1180" w:type="dxa"/>
          </w:tcPr>
          <w:p w14:paraId="7236DA75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424FC713" w14:textId="77777777" w:rsidTr="00A67AD7">
        <w:tc>
          <w:tcPr>
            <w:tcW w:w="1129" w:type="dxa"/>
            <w:vAlign w:val="center"/>
          </w:tcPr>
          <w:p w14:paraId="4C30E901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0B67B192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7.8.6.1, 7.8.6.2</w:t>
            </w:r>
          </w:p>
        </w:tc>
        <w:tc>
          <w:tcPr>
            <w:tcW w:w="5147" w:type="dxa"/>
            <w:vAlign w:val="center"/>
          </w:tcPr>
          <w:p w14:paraId="2413D83A" w14:textId="67662DAF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Fournir une déclaration de conformité</w:t>
            </w:r>
          </w:p>
        </w:tc>
        <w:tc>
          <w:tcPr>
            <w:tcW w:w="1180" w:type="dxa"/>
          </w:tcPr>
          <w:p w14:paraId="285AE6AA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7C91A6C4" w14:textId="77777777" w:rsidTr="00A67AD7">
        <w:tc>
          <w:tcPr>
            <w:tcW w:w="1129" w:type="dxa"/>
            <w:vAlign w:val="center"/>
          </w:tcPr>
          <w:p w14:paraId="0994EA0A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30E335B6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7.8.7.1, 7.8.7.2, 7.8.7.3</w:t>
            </w:r>
          </w:p>
        </w:tc>
        <w:tc>
          <w:tcPr>
            <w:tcW w:w="5147" w:type="dxa"/>
            <w:vAlign w:val="center"/>
          </w:tcPr>
          <w:p w14:paraId="179043D0" w14:textId="55F38F2E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Comptes rendus des avis et interprétations</w:t>
            </w:r>
          </w:p>
        </w:tc>
        <w:tc>
          <w:tcPr>
            <w:tcW w:w="1180" w:type="dxa"/>
          </w:tcPr>
          <w:p w14:paraId="14863AFD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</w:tbl>
    <w:p w14:paraId="0B702EE9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69C450AC" w14:textId="77777777" w:rsidR="0000259C" w:rsidRPr="00F33853" w:rsidRDefault="0000259C" w:rsidP="0000259C">
      <w:pPr>
        <w:rPr>
          <w:lang w:val="fr-BE"/>
        </w:rPr>
      </w:pPr>
    </w:p>
    <w:p w14:paraId="2B57C0E2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4ABDDDEC" w14:textId="77777777" w:rsidR="0000259C" w:rsidRPr="00F33853" w:rsidRDefault="0000259C" w:rsidP="000D7086">
      <w:pPr>
        <w:rPr>
          <w:lang w:val="fr-BE"/>
        </w:rPr>
      </w:pPr>
    </w:p>
    <w:p w14:paraId="6AE36E17" w14:textId="3E46C7B6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5.9: </w:t>
      </w:r>
      <w:r w:rsidRPr="00F33853">
        <w:rPr>
          <w:rFonts w:eastAsia="Calibri"/>
          <w:color w:val="000000"/>
          <w:szCs w:val="24"/>
          <w:lang w:val="fr-BE"/>
        </w:rPr>
        <w:t>Diffusion des résultats</w:t>
      </w:r>
    </w:p>
    <w:p w14:paraId="7E5087D3" w14:textId="77777777" w:rsidR="0098768F" w:rsidRPr="00F33853" w:rsidRDefault="0098768F" w:rsidP="0098768F">
      <w:pPr>
        <w:pStyle w:val="Kop4"/>
        <w:rPr>
          <w:lang w:val="fr-BE"/>
        </w:rPr>
      </w:pPr>
      <w:r w:rsidRPr="00F33853">
        <w:rPr>
          <w:lang w:val="fr-BE"/>
        </w:rPr>
        <w:t>EN ISO/IEC 17025:2017 § 7.8: Compte rendu des résultats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5254"/>
        <w:gridCol w:w="1085"/>
      </w:tblGrid>
      <w:tr w:rsidR="00DD2CED" w:rsidRPr="00F33853" w14:paraId="6B63DAD0" w14:textId="77777777" w:rsidTr="00630715">
        <w:tc>
          <w:tcPr>
            <w:tcW w:w="2677" w:type="dxa"/>
            <w:gridSpan w:val="2"/>
            <w:vAlign w:val="center"/>
          </w:tcPr>
          <w:p w14:paraId="2DCBD9ED" w14:textId="3D058E2D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4" w:type="dxa"/>
            <w:vMerge w:val="restart"/>
            <w:vAlign w:val="center"/>
          </w:tcPr>
          <w:p w14:paraId="0074193E" w14:textId="5C957D51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00F8FF39" w14:textId="7CF9127F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4A09415A" w14:textId="77777777" w:rsidTr="00630715">
        <w:tc>
          <w:tcPr>
            <w:tcW w:w="1125" w:type="dxa"/>
            <w:vAlign w:val="center"/>
          </w:tcPr>
          <w:p w14:paraId="70CE503C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2" w:type="dxa"/>
            <w:vAlign w:val="center"/>
          </w:tcPr>
          <w:p w14:paraId="35E90A41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4" w:type="dxa"/>
            <w:vMerge/>
          </w:tcPr>
          <w:p w14:paraId="483B2E36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2168BC37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F33853" w14:paraId="530DB10D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601CFC73" w14:textId="4C1B1880" w:rsidR="0000259C" w:rsidRPr="00F33853" w:rsidRDefault="00A06569" w:rsidP="00F33853">
            <w:pPr>
              <w:pStyle w:val="Tabeltitel"/>
            </w:pPr>
            <w:proofErr w:type="spellStart"/>
            <w:r w:rsidRPr="00F33853">
              <w:t>Diffusion</w:t>
            </w:r>
            <w:proofErr w:type="spellEnd"/>
            <w:r w:rsidRPr="00F33853">
              <w:t xml:space="preserve"> des </w:t>
            </w:r>
            <w:proofErr w:type="spellStart"/>
            <w:r w:rsidRPr="00F33853">
              <w:t>résultats</w:t>
            </w:r>
            <w:proofErr w:type="spellEnd"/>
          </w:p>
        </w:tc>
      </w:tr>
      <w:tr w:rsidR="00630715" w:rsidRPr="00F33853" w14:paraId="7D587300" w14:textId="77777777" w:rsidTr="00630715">
        <w:tc>
          <w:tcPr>
            <w:tcW w:w="1125" w:type="dxa"/>
            <w:vAlign w:val="center"/>
          </w:tcPr>
          <w:p w14:paraId="4F4E216E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5.9.1</w:t>
            </w:r>
          </w:p>
        </w:tc>
        <w:tc>
          <w:tcPr>
            <w:tcW w:w="1552" w:type="dxa"/>
            <w:vAlign w:val="center"/>
          </w:tcPr>
          <w:p w14:paraId="03654D69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7.8.1.1, 7.8.1.2, 7.8.7.3</w:t>
            </w:r>
          </w:p>
        </w:tc>
        <w:tc>
          <w:tcPr>
            <w:tcW w:w="5254" w:type="dxa"/>
          </w:tcPr>
          <w:p w14:paraId="60575D74" w14:textId="67F87DDD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12A920B5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EA68B9" w14:paraId="54117E1C" w14:textId="77777777" w:rsidTr="00630715">
        <w:tc>
          <w:tcPr>
            <w:tcW w:w="1125" w:type="dxa"/>
            <w:vAlign w:val="center"/>
          </w:tcPr>
          <w:p w14:paraId="4540D07E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5.9.2</w:t>
            </w:r>
          </w:p>
        </w:tc>
        <w:tc>
          <w:tcPr>
            <w:tcW w:w="1552" w:type="dxa"/>
            <w:vAlign w:val="center"/>
          </w:tcPr>
          <w:p w14:paraId="628B5799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5254" w:type="dxa"/>
          </w:tcPr>
          <w:p w14:paraId="16AC8305" w14:textId="43016E16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Sélection et compte rendu automatiques des résultats</w:t>
            </w:r>
          </w:p>
        </w:tc>
        <w:tc>
          <w:tcPr>
            <w:tcW w:w="1085" w:type="dxa"/>
          </w:tcPr>
          <w:p w14:paraId="732B02A6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761669D0" w14:textId="77777777" w:rsidTr="00630715">
        <w:tc>
          <w:tcPr>
            <w:tcW w:w="1125" w:type="dxa"/>
            <w:vAlign w:val="center"/>
          </w:tcPr>
          <w:p w14:paraId="3E1FCFEA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lastRenderedPageBreak/>
              <w:t>5.9.3</w:t>
            </w:r>
          </w:p>
        </w:tc>
        <w:tc>
          <w:tcPr>
            <w:tcW w:w="1552" w:type="dxa"/>
            <w:vAlign w:val="center"/>
          </w:tcPr>
          <w:p w14:paraId="65781261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7.8.1.1, 7.8.8.2, 7.8.8.3</w:t>
            </w:r>
          </w:p>
        </w:tc>
        <w:tc>
          <w:tcPr>
            <w:tcW w:w="5254" w:type="dxa"/>
          </w:tcPr>
          <w:p w14:paraId="4A66134A" w14:textId="28E923ED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Compte rendu révisés</w:t>
            </w:r>
          </w:p>
        </w:tc>
        <w:tc>
          <w:tcPr>
            <w:tcW w:w="1085" w:type="dxa"/>
          </w:tcPr>
          <w:p w14:paraId="48FEE7FB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</w:tbl>
    <w:p w14:paraId="41EEC208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7F969414" w14:textId="77777777" w:rsidR="0000259C" w:rsidRPr="00F33853" w:rsidRDefault="0000259C" w:rsidP="0000259C">
      <w:pPr>
        <w:rPr>
          <w:lang w:val="fr-BE"/>
        </w:rPr>
      </w:pPr>
    </w:p>
    <w:p w14:paraId="4EBBC80A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6BAF11C0" w14:textId="77777777" w:rsidR="0000259C" w:rsidRPr="00F33853" w:rsidRDefault="0000259C" w:rsidP="000D7086">
      <w:pPr>
        <w:rPr>
          <w:lang w:val="fr-BE"/>
        </w:rPr>
      </w:pPr>
    </w:p>
    <w:p w14:paraId="3A3579E2" w14:textId="0D7183F4" w:rsidR="000D7086" w:rsidRPr="00F33853" w:rsidRDefault="000D7086" w:rsidP="000D7086">
      <w:pPr>
        <w:pStyle w:val="Kop4"/>
        <w:rPr>
          <w:lang w:val="fr-BE"/>
        </w:rPr>
      </w:pPr>
      <w:r w:rsidRPr="00F33853">
        <w:rPr>
          <w:lang w:val="fr-BE"/>
        </w:rPr>
        <w:t>EN ISO 15189</w:t>
      </w:r>
      <w:r w:rsidR="00F33853">
        <w:rPr>
          <w:lang w:val="fr-BE"/>
        </w:rPr>
        <w:t xml:space="preserve">:2012 </w:t>
      </w:r>
      <w:r w:rsidRPr="00F33853">
        <w:rPr>
          <w:lang w:val="fr-BE"/>
        </w:rPr>
        <w:t xml:space="preserve">§ 5.10: </w:t>
      </w:r>
      <w:r w:rsidRPr="00F33853">
        <w:rPr>
          <w:rFonts w:eastAsia="Calibri"/>
          <w:color w:val="000000"/>
          <w:szCs w:val="24"/>
          <w:lang w:val="fr-BE"/>
        </w:rPr>
        <w:t>Gestion des informations de laboratoire</w:t>
      </w:r>
    </w:p>
    <w:p w14:paraId="0578D99C" w14:textId="77777777" w:rsidR="0098768F" w:rsidRPr="00F33853" w:rsidRDefault="0098768F" w:rsidP="0098768F">
      <w:pPr>
        <w:pStyle w:val="Kop4"/>
        <w:rPr>
          <w:lang w:val="fr-BE"/>
        </w:rPr>
      </w:pPr>
      <w:r w:rsidRPr="00F33853">
        <w:rPr>
          <w:lang w:val="fr-BE"/>
        </w:rPr>
        <w:t>EN ISO/IEC 17025:2017 § 7.11: Maîtrise des données et gestion de l’information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1"/>
        <w:gridCol w:w="5255"/>
        <w:gridCol w:w="1085"/>
      </w:tblGrid>
      <w:tr w:rsidR="00DD2CED" w:rsidRPr="00F33853" w14:paraId="26060568" w14:textId="77777777" w:rsidTr="00630715">
        <w:tc>
          <w:tcPr>
            <w:tcW w:w="2676" w:type="dxa"/>
            <w:gridSpan w:val="2"/>
            <w:vAlign w:val="center"/>
          </w:tcPr>
          <w:p w14:paraId="7A30D7B6" w14:textId="507E8764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3ED0557B" w14:textId="2D1900C7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Description</w:t>
            </w:r>
          </w:p>
        </w:tc>
        <w:tc>
          <w:tcPr>
            <w:tcW w:w="1085" w:type="dxa"/>
            <w:vMerge w:val="restart"/>
            <w:vAlign w:val="center"/>
          </w:tcPr>
          <w:p w14:paraId="596C2CF8" w14:textId="27BC3F93" w:rsidR="00DD2CED" w:rsidRPr="00F33853" w:rsidRDefault="00DD2CED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 xml:space="preserve">Évaluation </w:t>
            </w:r>
          </w:p>
        </w:tc>
      </w:tr>
      <w:tr w:rsidR="0000259C" w:rsidRPr="00F33853" w14:paraId="41787D70" w14:textId="77777777" w:rsidTr="00630715">
        <w:tc>
          <w:tcPr>
            <w:tcW w:w="1125" w:type="dxa"/>
            <w:vAlign w:val="center"/>
          </w:tcPr>
          <w:p w14:paraId="500A1C0E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 15189</w:t>
            </w:r>
          </w:p>
        </w:tc>
        <w:tc>
          <w:tcPr>
            <w:tcW w:w="1551" w:type="dxa"/>
            <w:vAlign w:val="center"/>
          </w:tcPr>
          <w:p w14:paraId="2EE3248C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  <w:r w:rsidRPr="00F33853">
              <w:rPr>
                <w:lang w:val="fr-BE"/>
              </w:rPr>
              <w:t>ISO/IEC 17025</w:t>
            </w:r>
          </w:p>
        </w:tc>
        <w:tc>
          <w:tcPr>
            <w:tcW w:w="5255" w:type="dxa"/>
            <w:vMerge/>
          </w:tcPr>
          <w:p w14:paraId="5AFDD212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  <w:tc>
          <w:tcPr>
            <w:tcW w:w="1085" w:type="dxa"/>
            <w:vMerge/>
          </w:tcPr>
          <w:p w14:paraId="5670D3C1" w14:textId="77777777" w:rsidR="0000259C" w:rsidRPr="00F33853" w:rsidRDefault="0000259C" w:rsidP="00F33853">
            <w:pPr>
              <w:pStyle w:val="Tabeltitel"/>
              <w:rPr>
                <w:lang w:val="fr-BE"/>
              </w:rPr>
            </w:pPr>
          </w:p>
        </w:tc>
      </w:tr>
      <w:tr w:rsidR="0000259C" w:rsidRPr="00EA68B9" w14:paraId="78613C65" w14:textId="77777777" w:rsidTr="00A67AD7">
        <w:tc>
          <w:tcPr>
            <w:tcW w:w="9016" w:type="dxa"/>
            <w:gridSpan w:val="4"/>
            <w:shd w:val="clear" w:color="auto" w:fill="E7E6E6" w:themeFill="background2"/>
          </w:tcPr>
          <w:p w14:paraId="467101DC" w14:textId="5BB492B4" w:rsidR="0000259C" w:rsidRPr="00294B21" w:rsidRDefault="00A06569" w:rsidP="00F33853">
            <w:pPr>
              <w:pStyle w:val="Tabeltitel"/>
              <w:rPr>
                <w:lang w:val="fr-BE"/>
              </w:rPr>
            </w:pPr>
            <w:r w:rsidRPr="00294B21">
              <w:rPr>
                <w:lang w:val="fr-BE"/>
              </w:rPr>
              <w:t>Gestion des informations de laboratoire</w:t>
            </w:r>
          </w:p>
        </w:tc>
      </w:tr>
      <w:tr w:rsidR="00630715" w:rsidRPr="00F33853" w14:paraId="71E90480" w14:textId="77777777" w:rsidTr="00630715">
        <w:tc>
          <w:tcPr>
            <w:tcW w:w="1125" w:type="dxa"/>
            <w:vAlign w:val="center"/>
          </w:tcPr>
          <w:p w14:paraId="4556E8F9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5.10.1</w:t>
            </w:r>
          </w:p>
        </w:tc>
        <w:tc>
          <w:tcPr>
            <w:tcW w:w="1551" w:type="dxa"/>
            <w:vAlign w:val="center"/>
          </w:tcPr>
          <w:p w14:paraId="32348315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7.11.1</w:t>
            </w:r>
          </w:p>
        </w:tc>
        <w:tc>
          <w:tcPr>
            <w:tcW w:w="5255" w:type="dxa"/>
          </w:tcPr>
          <w:p w14:paraId="23958250" w14:textId="7E53D8B2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Généralités</w:t>
            </w:r>
          </w:p>
        </w:tc>
        <w:tc>
          <w:tcPr>
            <w:tcW w:w="1085" w:type="dxa"/>
          </w:tcPr>
          <w:p w14:paraId="39B50E0E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06782924" w14:textId="77777777" w:rsidTr="00630715">
        <w:tc>
          <w:tcPr>
            <w:tcW w:w="1125" w:type="dxa"/>
            <w:vAlign w:val="center"/>
          </w:tcPr>
          <w:p w14:paraId="135EA567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5.10.2</w:t>
            </w:r>
          </w:p>
        </w:tc>
        <w:tc>
          <w:tcPr>
            <w:tcW w:w="1551" w:type="dxa"/>
            <w:vAlign w:val="center"/>
          </w:tcPr>
          <w:p w14:paraId="30FC207C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7.11.1, 7.11.3</w:t>
            </w:r>
          </w:p>
        </w:tc>
        <w:tc>
          <w:tcPr>
            <w:tcW w:w="5255" w:type="dxa"/>
          </w:tcPr>
          <w:p w14:paraId="5376F423" w14:textId="71AD31C0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Autorités et responsabilités</w:t>
            </w:r>
          </w:p>
        </w:tc>
        <w:tc>
          <w:tcPr>
            <w:tcW w:w="1085" w:type="dxa"/>
          </w:tcPr>
          <w:p w14:paraId="1580BA4F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630715" w:rsidRPr="00F33853" w14:paraId="0FF0647C" w14:textId="77777777" w:rsidTr="00630715">
        <w:tc>
          <w:tcPr>
            <w:tcW w:w="1125" w:type="dxa"/>
            <w:vAlign w:val="center"/>
          </w:tcPr>
          <w:p w14:paraId="4ACF05A5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 w:eastAsia="nl-NL"/>
              </w:rPr>
              <w:t>5.10.3</w:t>
            </w:r>
          </w:p>
        </w:tc>
        <w:tc>
          <w:tcPr>
            <w:tcW w:w="1551" w:type="dxa"/>
            <w:vAlign w:val="center"/>
          </w:tcPr>
          <w:p w14:paraId="0318744B" w14:textId="77777777" w:rsidR="00630715" w:rsidRPr="00F33853" w:rsidRDefault="00630715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7.11.2, 7.11.3, 7.11.4</w:t>
            </w:r>
          </w:p>
        </w:tc>
        <w:tc>
          <w:tcPr>
            <w:tcW w:w="5255" w:type="dxa"/>
          </w:tcPr>
          <w:p w14:paraId="5C32238E" w14:textId="1C5A9427" w:rsidR="00630715" w:rsidRPr="00F33853" w:rsidRDefault="00630715" w:rsidP="00F33853">
            <w:pPr>
              <w:pStyle w:val="Tabelinhoud"/>
              <w:rPr>
                <w:lang w:val="fr-BE"/>
              </w:rPr>
            </w:pPr>
            <w:r w:rsidRPr="00F33853">
              <w:rPr>
                <w:lang w:val="fr-BE"/>
              </w:rPr>
              <w:t>Gestion du système d’information</w:t>
            </w:r>
          </w:p>
        </w:tc>
        <w:tc>
          <w:tcPr>
            <w:tcW w:w="1085" w:type="dxa"/>
          </w:tcPr>
          <w:p w14:paraId="0A8AF547" w14:textId="77777777" w:rsidR="00630715" w:rsidRPr="00F33853" w:rsidRDefault="00630715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3CB2F2A3" w14:textId="77777777" w:rsidTr="00630715">
        <w:tc>
          <w:tcPr>
            <w:tcW w:w="1125" w:type="dxa"/>
            <w:vAlign w:val="center"/>
          </w:tcPr>
          <w:p w14:paraId="144BABA9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3605383B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7.11.5</w:t>
            </w:r>
          </w:p>
        </w:tc>
        <w:tc>
          <w:tcPr>
            <w:tcW w:w="5255" w:type="dxa"/>
          </w:tcPr>
          <w:p w14:paraId="014AEE01" w14:textId="780EDE1E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 xml:space="preserve">Accessibilité pour le personnel des instructions, manuels et données de référence </w:t>
            </w:r>
          </w:p>
        </w:tc>
        <w:tc>
          <w:tcPr>
            <w:tcW w:w="1085" w:type="dxa"/>
          </w:tcPr>
          <w:p w14:paraId="3299432D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  <w:tr w:rsidR="0098768F" w:rsidRPr="00EA68B9" w14:paraId="7375A52D" w14:textId="77777777" w:rsidTr="00630715">
        <w:tc>
          <w:tcPr>
            <w:tcW w:w="1125" w:type="dxa"/>
            <w:vAlign w:val="center"/>
          </w:tcPr>
          <w:p w14:paraId="38131BAA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50190CA4" w14:textId="77777777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 w:eastAsia="nl-NL"/>
              </w:rPr>
              <w:t>7.11.6</w:t>
            </w:r>
          </w:p>
        </w:tc>
        <w:tc>
          <w:tcPr>
            <w:tcW w:w="5255" w:type="dxa"/>
          </w:tcPr>
          <w:p w14:paraId="6C06DF25" w14:textId="6D6C1AFC" w:rsidR="0098768F" w:rsidRPr="00F33853" w:rsidRDefault="0098768F" w:rsidP="00F33853">
            <w:pPr>
              <w:pStyle w:val="Tabelinhoud"/>
              <w:rPr>
                <w:lang w:val="fr-BE" w:eastAsia="nl-NL"/>
              </w:rPr>
            </w:pPr>
            <w:r w:rsidRPr="00F33853">
              <w:rPr>
                <w:lang w:val="fr-BE"/>
              </w:rPr>
              <w:t>Vérification des calculs et transferts de données</w:t>
            </w:r>
          </w:p>
        </w:tc>
        <w:tc>
          <w:tcPr>
            <w:tcW w:w="1085" w:type="dxa"/>
          </w:tcPr>
          <w:p w14:paraId="5EAB7A09" w14:textId="77777777" w:rsidR="0098768F" w:rsidRPr="00F33853" w:rsidRDefault="0098768F" w:rsidP="00F33853">
            <w:pPr>
              <w:pStyle w:val="Tabelinhoud"/>
              <w:rPr>
                <w:lang w:val="fr-BE"/>
              </w:rPr>
            </w:pPr>
          </w:p>
        </w:tc>
      </w:tr>
    </w:tbl>
    <w:p w14:paraId="15A4E951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Principaux documents examinés :</w:t>
      </w:r>
    </w:p>
    <w:p w14:paraId="72977D2C" w14:textId="77777777" w:rsidR="0000259C" w:rsidRPr="00F33853" w:rsidRDefault="0000259C" w:rsidP="0000259C">
      <w:pPr>
        <w:rPr>
          <w:lang w:val="fr-BE"/>
        </w:rPr>
      </w:pPr>
    </w:p>
    <w:p w14:paraId="38A9FC64" w14:textId="77777777" w:rsidR="0000259C" w:rsidRPr="00F33853" w:rsidRDefault="0000259C" w:rsidP="0000259C">
      <w:pPr>
        <w:pStyle w:val="Kop6"/>
        <w:rPr>
          <w:lang w:val="fr-BE"/>
        </w:rPr>
      </w:pPr>
      <w:r w:rsidRPr="00F33853">
        <w:rPr>
          <w:lang w:val="fr-BE"/>
        </w:rPr>
        <w:t>Description générale des constatations y compris référence aux éventuelles non-conformités :</w:t>
      </w:r>
    </w:p>
    <w:p w14:paraId="6EC93B58" w14:textId="448763A4" w:rsidR="0000259C" w:rsidRPr="00F33853" w:rsidRDefault="0000259C" w:rsidP="000D7086">
      <w:pPr>
        <w:rPr>
          <w:lang w:val="fr-BE"/>
        </w:rPr>
      </w:pPr>
    </w:p>
    <w:p w14:paraId="19066339" w14:textId="77777777" w:rsidR="0098768F" w:rsidRPr="00F33853" w:rsidRDefault="0098768F" w:rsidP="000D7086">
      <w:pPr>
        <w:rPr>
          <w:lang w:val="fr-BE"/>
        </w:rPr>
      </w:pPr>
    </w:p>
    <w:p w14:paraId="2EE69FFA" w14:textId="77777777" w:rsidR="00630715" w:rsidRPr="00EA68B9" w:rsidRDefault="00630715" w:rsidP="00630715">
      <w:pPr>
        <w:pStyle w:val="Kop3"/>
        <w:rPr>
          <w:lang w:val="fr-BE"/>
        </w:rPr>
      </w:pPr>
      <w:bookmarkStart w:id="3" w:name="_Hlk73129680"/>
      <w:r w:rsidRPr="00EA68B9">
        <w:rPr>
          <w:lang w:val="fr-BE"/>
        </w:rPr>
        <w:t>Exigences complémentaire de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820"/>
        <w:gridCol w:w="1276"/>
      </w:tblGrid>
      <w:tr w:rsidR="0000259C" w:rsidRPr="00EA68B9" w14:paraId="4D4BCF6D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3"/>
          <w:p w14:paraId="66ACFF18" w14:textId="14D55303" w:rsidR="0000259C" w:rsidRPr="00EA68B9" w:rsidRDefault="0000259C" w:rsidP="0000259C">
            <w:pPr>
              <w:rPr>
                <w:rFonts w:cs="Arial"/>
                <w:b/>
                <w:snapToGrid w:val="0"/>
                <w:lang w:val="fr-BE"/>
              </w:rPr>
            </w:pPr>
            <w:r w:rsidRPr="00EA68B9">
              <w:rPr>
                <w:rFonts w:cs="Arial"/>
                <w:b/>
                <w:snapToGrid w:val="0"/>
                <w:lang w:val="fr-BE"/>
              </w:rPr>
              <w:t>R</w:t>
            </w:r>
            <w:r w:rsidR="00DD2CED" w:rsidRPr="00EA68B9">
              <w:rPr>
                <w:rFonts w:cs="Arial"/>
                <w:b/>
                <w:snapToGrid w:val="0"/>
                <w:lang w:val="fr-BE"/>
              </w:rPr>
              <w:t>é</w:t>
            </w:r>
            <w:r w:rsidRPr="00EA68B9">
              <w:rPr>
                <w:rFonts w:cs="Arial"/>
                <w:b/>
                <w:snapToGrid w:val="0"/>
                <w:lang w:val="fr-BE"/>
              </w:rPr>
              <w:t>f</w:t>
            </w:r>
            <w:r w:rsidR="00DD2CED" w:rsidRPr="00EA68B9">
              <w:rPr>
                <w:rFonts w:cs="Arial"/>
                <w:b/>
                <w:snapToGrid w:val="0"/>
                <w:lang w:val="fr-BE"/>
              </w:rPr>
              <w:t>é</w:t>
            </w:r>
            <w:r w:rsidRPr="00EA68B9">
              <w:rPr>
                <w:rFonts w:cs="Arial"/>
                <w:b/>
                <w:snapToGrid w:val="0"/>
                <w:lang w:val="fr-BE"/>
              </w:rPr>
              <w:t>ren</w:t>
            </w:r>
            <w:r w:rsidR="00DD2CED" w:rsidRPr="00EA68B9">
              <w:rPr>
                <w:rFonts w:cs="Arial"/>
                <w:b/>
                <w:snapToGrid w:val="0"/>
                <w:lang w:val="fr-BE"/>
              </w:rPr>
              <w:t>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325D2" w14:textId="055BF6C9" w:rsidR="0000259C" w:rsidRPr="00EA68B9" w:rsidRDefault="00DD2CED" w:rsidP="0000259C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fr-BE"/>
              </w:rPr>
            </w:pPr>
            <w:r w:rsidRPr="00EA68B9">
              <w:rPr>
                <w:rFonts w:ascii="Lato" w:hAnsi="Lato" w:cs="Arial"/>
                <w:b/>
                <w:bCs/>
                <w:lang w:val="fr-BE"/>
              </w:rPr>
              <w:t>Description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EA48E" w14:textId="6AC6C8CB" w:rsidR="0000259C" w:rsidRPr="00EA68B9" w:rsidRDefault="0000259C" w:rsidP="0000259C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fr-BE"/>
              </w:rPr>
            </w:pPr>
            <w:r w:rsidRPr="00EA68B9">
              <w:rPr>
                <w:rFonts w:ascii="Lato" w:hAnsi="Lato" w:cs="Arial"/>
                <w:b/>
                <w:bCs/>
                <w:lang w:val="fr-BE"/>
              </w:rPr>
              <w:t>Conclusi</w:t>
            </w:r>
            <w:r w:rsidR="00DD2CED" w:rsidRPr="00EA68B9">
              <w:rPr>
                <w:rFonts w:ascii="Lato" w:hAnsi="Lato" w:cs="Arial"/>
                <w:b/>
                <w:bCs/>
                <w:lang w:val="fr-BE"/>
              </w:rPr>
              <w:t>on</w:t>
            </w:r>
          </w:p>
        </w:tc>
      </w:tr>
      <w:tr w:rsidR="00630715" w:rsidRPr="00EA68B9" w14:paraId="4FE494E0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5B8A" w14:textId="194D19E4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2-001 </w:t>
            </w:r>
            <w:r w:rsidRPr="00EA68B9">
              <w:rPr>
                <w:rStyle w:val="CitaatChar"/>
                <w:lang w:val="fr-BE"/>
              </w:rPr>
              <w:t>(</w:t>
            </w:r>
            <w:r w:rsidRPr="00EA68B9">
              <w:rPr>
                <w:rFonts w:cs="Arial"/>
                <w:i/>
                <w:iCs/>
                <w:snapToGrid w:val="0"/>
                <w:sz w:val="18"/>
                <w:szCs w:val="18"/>
                <w:lang w:val="fr-BE"/>
              </w:rPr>
              <w:t>référence à l’accréditation</w:t>
            </w:r>
            <w:r w:rsidRPr="00EA68B9">
              <w:rPr>
                <w:rStyle w:val="CitaatChar"/>
                <w:lang w:val="fr-BE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C041" w14:textId="2778A11D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904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6510D1E2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2A1F" w14:textId="60CE9779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2-002 </w:t>
            </w:r>
            <w:r w:rsidRPr="00EA68B9">
              <w:rPr>
                <w:rStyle w:val="CitaatChar"/>
                <w:lang w:val="fr-BE"/>
              </w:rPr>
              <w:t>(domaine d’application : fixe/flexible, activités dormantes)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AB72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197E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71CC1725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C682" w14:textId="79F4A88E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2-101 </w:t>
            </w:r>
            <w:r w:rsidRPr="00EA68B9">
              <w:rPr>
                <w:rStyle w:val="CitaatChar"/>
                <w:lang w:val="fr-BE"/>
              </w:rPr>
              <w:t>(scope d’accréditation délivrée à un laboratoire d’essais : formulation + évaluation)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949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A1C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43A91B9E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D3C3" w14:textId="455754FE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2-110 </w:t>
            </w:r>
            <w:r w:rsidRPr="00EA68B9">
              <w:rPr>
                <w:rStyle w:val="CitaatChar"/>
                <w:lang w:val="fr-BE"/>
              </w:rPr>
              <w:t>(scope d’accréditation délivrée à un laboratoire d’étalonnage : formulation + évaluation)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BA47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18D9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66768B9F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4D9F" w14:textId="79FF88B5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2-003 </w:t>
            </w:r>
            <w:r w:rsidRPr="00EA68B9">
              <w:rPr>
                <w:rStyle w:val="CitaatChar"/>
                <w:lang w:val="fr-BE"/>
              </w:rPr>
              <w:t>politique et lignes directrices en matière de traçabilité des résultats de mesure)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A2B3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BA57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3186F3DD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41CE" w14:textId="5745E9B7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lastRenderedPageBreak/>
              <w:t xml:space="preserve">BELAC 2-106 </w:t>
            </w:r>
            <w:r w:rsidRPr="00EA68B9">
              <w:rPr>
                <w:rStyle w:val="CitaatChar"/>
                <w:lang w:val="fr-BE"/>
              </w:rPr>
              <w:t>(essais d’aptitude (PT): lignes directrices participation et évaluation des performances)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5D05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52EB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6814C82E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2DBE" w14:textId="3B93B088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2-107 </w:t>
            </w:r>
            <w:r w:rsidRPr="00EA68B9">
              <w:rPr>
                <w:rStyle w:val="CitaatChar"/>
                <w:lang w:val="fr-BE"/>
              </w:rPr>
              <w:t>(expression de l’incertitude de mesure en étalonnage)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9E4E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C65E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6BF99341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8A38" w14:textId="02338FAB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2-108 </w:t>
            </w:r>
            <w:r w:rsidRPr="00EA68B9">
              <w:rPr>
                <w:rStyle w:val="CitaatChar"/>
                <w:lang w:val="fr-BE"/>
              </w:rPr>
              <w:t>(expression de l’incertitude dans le cas d’essais quantitatifs)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4356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0E8A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00259C" w:rsidRPr="00EA68B9" w14:paraId="03BB921C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1D9F" w14:textId="77777777" w:rsidR="0000259C" w:rsidRPr="00EA68B9" w:rsidRDefault="0000259C" w:rsidP="0000259C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pacing w:val="-3"/>
                <w:sz w:val="18"/>
                <w:szCs w:val="18"/>
                <w:lang w:val="fr-BE"/>
              </w:rPr>
              <w:t xml:space="preserve">BELAC 2-404 </w:t>
            </w:r>
            <w:r w:rsidRPr="00EA68B9">
              <w:rPr>
                <w:rStyle w:val="CitaatChar"/>
                <w:lang w:val="fr-BE"/>
              </w:rPr>
              <w:t xml:space="preserve">(EA - 2/17 </w:t>
            </w:r>
            <w:proofErr w:type="spellStart"/>
            <w:r w:rsidRPr="00EA68B9">
              <w:rPr>
                <w:rStyle w:val="CitaatChar"/>
                <w:lang w:val="fr-BE"/>
              </w:rPr>
              <w:t>Notified</w:t>
            </w:r>
            <w:proofErr w:type="spellEnd"/>
            <w:r w:rsidRPr="00EA68B9">
              <w:rPr>
                <w:rStyle w:val="CitaatChar"/>
                <w:lang w:val="fr-BE"/>
              </w:rPr>
              <w:t xml:space="preserve"> Body)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417" w14:textId="77777777" w:rsidR="0000259C" w:rsidRPr="00EA68B9" w:rsidRDefault="0000259C" w:rsidP="0000259C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EC56" w14:textId="77777777" w:rsidR="0000259C" w:rsidRPr="00EA68B9" w:rsidRDefault="0000259C" w:rsidP="0000259C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F73A4D" w:rsidRPr="00EA68B9" w14:paraId="767D3211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46E0" w14:textId="63150A05" w:rsidR="00F73A4D" w:rsidRPr="00EA68B9" w:rsidRDefault="00F73A4D" w:rsidP="00F73A4D">
            <w:pPr>
              <w:jc w:val="left"/>
              <w:rPr>
                <w:rFonts w:cs="Arial"/>
                <w:spacing w:val="-3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pacing w:val="-3"/>
                <w:sz w:val="18"/>
                <w:szCs w:val="18"/>
                <w:lang w:val="fr-BE"/>
              </w:rPr>
              <w:t xml:space="preserve">BELAC 2-405-DOSI </w:t>
            </w:r>
            <w:r w:rsidRPr="00EA68B9">
              <w:rPr>
                <w:rStyle w:val="CitaatChar"/>
                <w:lang w:val="fr-BE"/>
              </w:rPr>
              <w:t xml:space="preserve">(Exigences spécifiques pour l’accréditation des laboratoires agréés comme services de dosimétrie par l’Agence Fédérale de Contrôle Nucléaire (AFCN))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FB61" w14:textId="77777777" w:rsidR="00F73A4D" w:rsidRPr="00EA68B9" w:rsidRDefault="00F73A4D" w:rsidP="0000259C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A9C2" w14:textId="77777777" w:rsidR="00F73A4D" w:rsidRPr="00EA68B9" w:rsidRDefault="00F73A4D" w:rsidP="0000259C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685EE94A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012E" w14:textId="3E8CA32E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 2-405 NGS </w:t>
            </w:r>
            <w:r w:rsidRPr="00EA68B9">
              <w:rPr>
                <w:rStyle w:val="CitaatChar"/>
                <w:lang w:val="fr-BE"/>
              </w:rPr>
              <w:t>(lignes directrices pour les analyses de tumeurs hématologiques et solides)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26B7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0EA0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2CAC2008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9B92" w14:textId="6DDA6D2B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 2-405 MED </w:t>
            </w:r>
            <w:r w:rsidRPr="00EA68B9">
              <w:rPr>
                <w:rStyle w:val="CitaatChar"/>
                <w:lang w:val="fr-BE"/>
              </w:rPr>
              <w:t>(obligations légales supplémentaires)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E1CA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F399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0BBF3C96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9883" w14:textId="54C202DB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2-405-DNA JUST </w:t>
            </w:r>
            <w:r w:rsidRPr="00EA68B9">
              <w:rPr>
                <w:rStyle w:val="CitaatChar"/>
                <w:lang w:val="fr-BE"/>
              </w:rPr>
              <w:t>(exigences pour l’accréditation des laboratoires ADN agréés)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CFFB" w14:textId="77777777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835D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630715" w:rsidRPr="00EA68B9" w14:paraId="273DE8D6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0A01" w14:textId="0AE24933" w:rsidR="00630715" w:rsidRPr="00EA68B9" w:rsidRDefault="00630715" w:rsidP="00630715">
            <w:pPr>
              <w:jc w:val="left"/>
              <w:rPr>
                <w:rFonts w:cs="Arial"/>
                <w:snapToGrid w:val="0"/>
                <w:sz w:val="18"/>
                <w:szCs w:val="18"/>
                <w:lang w:val="fr-BE"/>
              </w:rPr>
            </w:pPr>
            <w:r w:rsidRPr="00EA68B9">
              <w:rPr>
                <w:rFonts w:cs="Arial"/>
                <w:snapToGrid w:val="0"/>
                <w:sz w:val="18"/>
                <w:szCs w:val="18"/>
                <w:lang w:val="fr-BE"/>
              </w:rPr>
              <w:t xml:space="preserve">BELAC 2-405-CPR </w:t>
            </w:r>
            <w:r w:rsidRPr="00EA68B9">
              <w:rPr>
                <w:rStyle w:val="CitaatChar"/>
                <w:lang w:val="fr-BE"/>
              </w:rPr>
              <w:t>(exigences pour l’accréditation des organismes notifiés à l’UE dans le cadre du Règlement N° 305/2011)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9517" w14:textId="1796FF7E" w:rsidR="00630715" w:rsidRPr="00EA68B9" w:rsidRDefault="00630715" w:rsidP="00630715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6D33" w14:textId="77777777" w:rsidR="00630715" w:rsidRPr="00EA68B9" w:rsidRDefault="00630715" w:rsidP="00630715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294B21" w:rsidRPr="00EA68B9" w14:paraId="3E3F3AB4" w14:textId="77777777" w:rsidTr="00DD2CED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0347" w14:textId="3B3EC2C7" w:rsidR="00294B21" w:rsidRPr="00EA68B9" w:rsidRDefault="00294B21" w:rsidP="00294B21">
            <w:pPr>
              <w:pStyle w:val="Tabelinhoud"/>
              <w:rPr>
                <w:lang w:val="fr-BE"/>
              </w:rPr>
            </w:pPr>
            <w:r w:rsidRPr="00EA68B9">
              <w:rPr>
                <w:rFonts w:cs="Arial"/>
                <w:snapToGrid w:val="0"/>
                <w:szCs w:val="18"/>
                <w:lang w:val="fr-BE"/>
              </w:rPr>
              <w:t xml:space="preserve">BELAC 2-405-WADA </w:t>
            </w:r>
            <w:r w:rsidRPr="00EA68B9">
              <w:rPr>
                <w:rStyle w:val="CitaatChar"/>
                <w:lang w:val="fr-BE"/>
              </w:rPr>
              <w:t>(Exigences pour l’accréditation des laboratoires antidopage de WADA)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8520" w14:textId="77777777" w:rsidR="00294B21" w:rsidRPr="00EA68B9" w:rsidRDefault="00294B21" w:rsidP="00294B21">
            <w:pPr>
              <w:pStyle w:val="Tabelinhoud"/>
              <w:rPr>
                <w:rFonts w:cs="Arial"/>
                <w:szCs w:val="18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D74C" w14:textId="77777777" w:rsidR="00294B21" w:rsidRPr="00EA68B9" w:rsidRDefault="00294B21" w:rsidP="00294B21">
            <w:pPr>
              <w:pStyle w:val="Tabelinhoud"/>
              <w:rPr>
                <w:rFonts w:cs="Arial"/>
                <w:szCs w:val="18"/>
                <w:lang w:val="fr-BE"/>
              </w:rPr>
            </w:pPr>
          </w:p>
        </w:tc>
      </w:tr>
    </w:tbl>
    <w:p w14:paraId="0D1A3323" w14:textId="77777777" w:rsidR="0000259C" w:rsidRPr="00F33853" w:rsidRDefault="0000259C" w:rsidP="000D7086">
      <w:pPr>
        <w:rPr>
          <w:lang w:val="fr-BE"/>
        </w:rPr>
      </w:pPr>
    </w:p>
    <w:p w14:paraId="173739BA" w14:textId="77777777" w:rsidR="00023EEA" w:rsidRPr="00B96276" w:rsidRDefault="00023EEA" w:rsidP="00075E08">
      <w:pPr>
        <w:rPr>
          <w:lang w:val="fr-BE"/>
        </w:rPr>
      </w:pPr>
    </w:p>
    <w:sectPr w:rsidR="00023EEA" w:rsidRPr="00B96276" w:rsidSect="00023EEA">
      <w:headerReference w:type="default" r:id="rId8"/>
      <w:footerReference w:type="default" r:id="rId9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D345" w14:textId="77777777" w:rsidR="00496343" w:rsidRDefault="00496343" w:rsidP="00FD6796">
      <w:r>
        <w:separator/>
      </w:r>
    </w:p>
  </w:endnote>
  <w:endnote w:type="continuationSeparator" w:id="0">
    <w:p w14:paraId="48F9D97E" w14:textId="77777777" w:rsidR="00496343" w:rsidRDefault="00496343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96343" w14:paraId="6D3B8E79" w14:textId="77777777" w:rsidTr="00DD5EF1">
      <w:trPr>
        <w:trHeight w:val="397"/>
      </w:trPr>
      <w:tc>
        <w:tcPr>
          <w:tcW w:w="4508" w:type="dxa"/>
        </w:tcPr>
        <w:p w14:paraId="0494598A" w14:textId="08B0EE87" w:rsidR="00496343" w:rsidRDefault="00496343" w:rsidP="00026AB5">
          <w:pPr>
            <w:pStyle w:val="Voettekst"/>
            <w:jc w:val="left"/>
          </w:pPr>
          <w:bookmarkStart w:id="8" w:name="_Hlk66174758"/>
          <w:r w:rsidRPr="0063157E">
            <w:t xml:space="preserve">BELAC </w:t>
          </w:r>
          <w:r>
            <w:t>6-431(15189-17025) R</w:t>
          </w:r>
          <w:r w:rsidR="00C17813">
            <w:t xml:space="preserve">ev </w:t>
          </w:r>
          <w:r w:rsidR="00F73A4D">
            <w:t>4</w:t>
          </w:r>
          <w:r>
            <w:t>-202</w:t>
          </w:r>
          <w:r w:rsidR="00F73A4D">
            <w:t>3</w:t>
          </w:r>
        </w:p>
      </w:tc>
      <w:tc>
        <w:tcPr>
          <w:tcW w:w="4508" w:type="dxa"/>
        </w:tcPr>
        <w:p w14:paraId="4A3BA526" w14:textId="77777777" w:rsidR="00496343" w:rsidRDefault="00496343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8"/>
  </w:tbl>
  <w:p w14:paraId="20D5B8D6" w14:textId="77777777" w:rsidR="00496343" w:rsidRDefault="004963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F0FC" w14:textId="77777777" w:rsidR="00496343" w:rsidRDefault="00496343" w:rsidP="00FD6796">
      <w:r>
        <w:separator/>
      </w:r>
    </w:p>
  </w:footnote>
  <w:footnote w:type="continuationSeparator" w:id="0">
    <w:p w14:paraId="40A40CEC" w14:textId="77777777" w:rsidR="00496343" w:rsidRDefault="00496343" w:rsidP="00F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96343" w:rsidRPr="008D1A73" w14:paraId="7FFE7CEA" w14:textId="77777777" w:rsidTr="00BA656A">
      <w:tc>
        <w:tcPr>
          <w:tcW w:w="3005" w:type="dxa"/>
        </w:tcPr>
        <w:p w14:paraId="519D21ED" w14:textId="77777777" w:rsidR="00496343" w:rsidRPr="00023EEA" w:rsidRDefault="00496343">
          <w:pPr>
            <w:pStyle w:val="Koptekst"/>
            <w:rPr>
              <w:szCs w:val="24"/>
              <w:lang w:val="fr-FR"/>
            </w:rPr>
          </w:pPr>
          <w:bookmarkStart w:id="4" w:name="_Hlk71203573"/>
          <w:bookmarkStart w:id="5" w:name="_Hlk71203574"/>
          <w:bookmarkStart w:id="6" w:name="_Hlk71203624"/>
          <w:bookmarkStart w:id="7" w:name="_Hlk71203625"/>
          <w:r>
            <w:rPr>
              <w:szCs w:val="24"/>
              <w:lang w:val="fr-FR"/>
            </w:rPr>
            <w:t>C</w:t>
          </w:r>
          <w:r w:rsidRPr="00023EEA">
            <w:rPr>
              <w:szCs w:val="24"/>
              <w:lang w:val="fr-FR"/>
            </w:rPr>
            <w:t>ode ID</w:t>
          </w:r>
          <w:r>
            <w:rPr>
              <w:szCs w:val="24"/>
              <w:lang w:val="fr-FR"/>
            </w:rPr>
            <w:t xml:space="preserve"> </w:t>
          </w:r>
          <w:r w:rsidRPr="00023EEA">
            <w:rPr>
              <w:szCs w:val="24"/>
              <w:lang w:val="fr-FR"/>
            </w:rPr>
            <w:t>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142B5878" w14:textId="77777777" w:rsidR="00496343" w:rsidRPr="00023EEA" w:rsidRDefault="00496343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r>
            <w:rPr>
              <w:szCs w:val="24"/>
              <w:lang w:val="fr-FR"/>
            </w:rPr>
            <w:t>C</w:t>
          </w:r>
        </w:p>
      </w:tc>
      <w:tc>
        <w:tcPr>
          <w:tcW w:w="3006" w:type="dxa"/>
        </w:tcPr>
        <w:p w14:paraId="5DED9F20" w14:textId="77777777" w:rsidR="00496343" w:rsidRPr="008D1A73" w:rsidRDefault="00496343" w:rsidP="008D1A73">
          <w:pPr>
            <w:pStyle w:val="Koptekst"/>
            <w:jc w:val="right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Confidentiel</w:t>
          </w:r>
        </w:p>
      </w:tc>
      <w:bookmarkEnd w:id="4"/>
      <w:bookmarkEnd w:id="5"/>
      <w:bookmarkEnd w:id="6"/>
      <w:bookmarkEnd w:id="7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23920566"/>
    <w:lvl w:ilvl="0" w:tplc="818A1A62">
      <w:start w:val="1"/>
      <w:numFmt w:val="decimal"/>
      <w:pStyle w:val="Kop2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28"/>
    <w:rsid w:val="0000259C"/>
    <w:rsid w:val="00002BE9"/>
    <w:rsid w:val="00006A55"/>
    <w:rsid w:val="00023EEA"/>
    <w:rsid w:val="000262E4"/>
    <w:rsid w:val="00026AB5"/>
    <w:rsid w:val="00043E51"/>
    <w:rsid w:val="00057979"/>
    <w:rsid w:val="000737A3"/>
    <w:rsid w:val="00075E08"/>
    <w:rsid w:val="00083A68"/>
    <w:rsid w:val="000A5C65"/>
    <w:rsid w:val="000B1928"/>
    <w:rsid w:val="000B209D"/>
    <w:rsid w:val="000B74E4"/>
    <w:rsid w:val="000C4030"/>
    <w:rsid w:val="000D0DAF"/>
    <w:rsid w:val="000D493F"/>
    <w:rsid w:val="000D7086"/>
    <w:rsid w:val="000E6CE5"/>
    <w:rsid w:val="0013084C"/>
    <w:rsid w:val="001315CC"/>
    <w:rsid w:val="001319E3"/>
    <w:rsid w:val="001343A2"/>
    <w:rsid w:val="001351E3"/>
    <w:rsid w:val="00135645"/>
    <w:rsid w:val="00135FA2"/>
    <w:rsid w:val="00142E2D"/>
    <w:rsid w:val="00143218"/>
    <w:rsid w:val="00187450"/>
    <w:rsid w:val="001A54EA"/>
    <w:rsid w:val="001B3E1B"/>
    <w:rsid w:val="001C227D"/>
    <w:rsid w:val="001C2826"/>
    <w:rsid w:val="001C71EE"/>
    <w:rsid w:val="001D0BBC"/>
    <w:rsid w:val="001D4C42"/>
    <w:rsid w:val="001E0F29"/>
    <w:rsid w:val="001F52F6"/>
    <w:rsid w:val="002002A7"/>
    <w:rsid w:val="00203658"/>
    <w:rsid w:val="00206484"/>
    <w:rsid w:val="00224868"/>
    <w:rsid w:val="00242D17"/>
    <w:rsid w:val="0024507A"/>
    <w:rsid w:val="002542D5"/>
    <w:rsid w:val="00272173"/>
    <w:rsid w:val="002777A6"/>
    <w:rsid w:val="00285276"/>
    <w:rsid w:val="00294B21"/>
    <w:rsid w:val="002A4FD2"/>
    <w:rsid w:val="002C17C3"/>
    <w:rsid w:val="002F56D5"/>
    <w:rsid w:val="00331A71"/>
    <w:rsid w:val="00331AD1"/>
    <w:rsid w:val="00332440"/>
    <w:rsid w:val="0033340A"/>
    <w:rsid w:val="00355E78"/>
    <w:rsid w:val="00372D8C"/>
    <w:rsid w:val="003901A2"/>
    <w:rsid w:val="003B4D28"/>
    <w:rsid w:val="003B4D87"/>
    <w:rsid w:val="003C1B20"/>
    <w:rsid w:val="003C4803"/>
    <w:rsid w:val="003C7B76"/>
    <w:rsid w:val="003D1E23"/>
    <w:rsid w:val="003D3EB5"/>
    <w:rsid w:val="003D70C3"/>
    <w:rsid w:val="003E5ECA"/>
    <w:rsid w:val="00426E26"/>
    <w:rsid w:val="00440FCC"/>
    <w:rsid w:val="00455260"/>
    <w:rsid w:val="00467C8F"/>
    <w:rsid w:val="00476893"/>
    <w:rsid w:val="0049197F"/>
    <w:rsid w:val="00496343"/>
    <w:rsid w:val="004C71E8"/>
    <w:rsid w:val="004D1FCD"/>
    <w:rsid w:val="004D21EE"/>
    <w:rsid w:val="004D2DB9"/>
    <w:rsid w:val="004D5A1C"/>
    <w:rsid w:val="004E0FD0"/>
    <w:rsid w:val="004F14F7"/>
    <w:rsid w:val="004F26E3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63360"/>
    <w:rsid w:val="00585D0C"/>
    <w:rsid w:val="005B215F"/>
    <w:rsid w:val="005E057D"/>
    <w:rsid w:val="005E3B50"/>
    <w:rsid w:val="005E6E62"/>
    <w:rsid w:val="005F3861"/>
    <w:rsid w:val="005F5B80"/>
    <w:rsid w:val="00604F01"/>
    <w:rsid w:val="006101B8"/>
    <w:rsid w:val="00610720"/>
    <w:rsid w:val="006125D4"/>
    <w:rsid w:val="00630715"/>
    <w:rsid w:val="0063157E"/>
    <w:rsid w:val="00643241"/>
    <w:rsid w:val="0065459F"/>
    <w:rsid w:val="00670AD3"/>
    <w:rsid w:val="006B0AF8"/>
    <w:rsid w:val="006B1316"/>
    <w:rsid w:val="006C607E"/>
    <w:rsid w:val="006D4E5A"/>
    <w:rsid w:val="006D7E3A"/>
    <w:rsid w:val="00706F67"/>
    <w:rsid w:val="0072094E"/>
    <w:rsid w:val="007326C7"/>
    <w:rsid w:val="00740591"/>
    <w:rsid w:val="00751B93"/>
    <w:rsid w:val="00752A1A"/>
    <w:rsid w:val="00763D19"/>
    <w:rsid w:val="007734D0"/>
    <w:rsid w:val="007976C9"/>
    <w:rsid w:val="00814B5E"/>
    <w:rsid w:val="00853892"/>
    <w:rsid w:val="0085649C"/>
    <w:rsid w:val="00896E99"/>
    <w:rsid w:val="008B58A3"/>
    <w:rsid w:val="008B693E"/>
    <w:rsid w:val="008D1A73"/>
    <w:rsid w:val="008F0C17"/>
    <w:rsid w:val="00922563"/>
    <w:rsid w:val="0092436F"/>
    <w:rsid w:val="00944B4A"/>
    <w:rsid w:val="009520BA"/>
    <w:rsid w:val="009650CE"/>
    <w:rsid w:val="00970693"/>
    <w:rsid w:val="009746D4"/>
    <w:rsid w:val="009834F8"/>
    <w:rsid w:val="0098768F"/>
    <w:rsid w:val="009877F5"/>
    <w:rsid w:val="009B1329"/>
    <w:rsid w:val="009B2705"/>
    <w:rsid w:val="009B61E2"/>
    <w:rsid w:val="009D348F"/>
    <w:rsid w:val="009E2428"/>
    <w:rsid w:val="009F00DD"/>
    <w:rsid w:val="00A06569"/>
    <w:rsid w:val="00A0697B"/>
    <w:rsid w:val="00A11D72"/>
    <w:rsid w:val="00A14FDC"/>
    <w:rsid w:val="00A20303"/>
    <w:rsid w:val="00A24356"/>
    <w:rsid w:val="00A25A9E"/>
    <w:rsid w:val="00A418D1"/>
    <w:rsid w:val="00A52AA2"/>
    <w:rsid w:val="00A6690D"/>
    <w:rsid w:val="00A67AD7"/>
    <w:rsid w:val="00A67FCC"/>
    <w:rsid w:val="00A7372F"/>
    <w:rsid w:val="00A8240F"/>
    <w:rsid w:val="00A91D28"/>
    <w:rsid w:val="00A94E41"/>
    <w:rsid w:val="00A95863"/>
    <w:rsid w:val="00A97B10"/>
    <w:rsid w:val="00AA64E3"/>
    <w:rsid w:val="00AC7A70"/>
    <w:rsid w:val="00AF2172"/>
    <w:rsid w:val="00AF5EEB"/>
    <w:rsid w:val="00B009A3"/>
    <w:rsid w:val="00B42862"/>
    <w:rsid w:val="00B56055"/>
    <w:rsid w:val="00B91D0B"/>
    <w:rsid w:val="00B96276"/>
    <w:rsid w:val="00B962BE"/>
    <w:rsid w:val="00B96861"/>
    <w:rsid w:val="00B971A7"/>
    <w:rsid w:val="00BA1564"/>
    <w:rsid w:val="00BA5DAA"/>
    <w:rsid w:val="00BA656A"/>
    <w:rsid w:val="00BD1606"/>
    <w:rsid w:val="00BE4D7A"/>
    <w:rsid w:val="00BE7509"/>
    <w:rsid w:val="00BF1B64"/>
    <w:rsid w:val="00BF3164"/>
    <w:rsid w:val="00C040F1"/>
    <w:rsid w:val="00C17813"/>
    <w:rsid w:val="00C17B27"/>
    <w:rsid w:val="00C213A0"/>
    <w:rsid w:val="00C33611"/>
    <w:rsid w:val="00C406F3"/>
    <w:rsid w:val="00C52325"/>
    <w:rsid w:val="00C57B8A"/>
    <w:rsid w:val="00C7146A"/>
    <w:rsid w:val="00C7568A"/>
    <w:rsid w:val="00C85CC3"/>
    <w:rsid w:val="00C9034E"/>
    <w:rsid w:val="00C92B81"/>
    <w:rsid w:val="00C96D1F"/>
    <w:rsid w:val="00CB077B"/>
    <w:rsid w:val="00CB385B"/>
    <w:rsid w:val="00CC2417"/>
    <w:rsid w:val="00CC6925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45F3D"/>
    <w:rsid w:val="00D815B6"/>
    <w:rsid w:val="00D9735D"/>
    <w:rsid w:val="00DD2CED"/>
    <w:rsid w:val="00DD5EF1"/>
    <w:rsid w:val="00DF093A"/>
    <w:rsid w:val="00DF4D5A"/>
    <w:rsid w:val="00E13230"/>
    <w:rsid w:val="00E161AA"/>
    <w:rsid w:val="00E26E2B"/>
    <w:rsid w:val="00E309CF"/>
    <w:rsid w:val="00E43987"/>
    <w:rsid w:val="00E67837"/>
    <w:rsid w:val="00E7705E"/>
    <w:rsid w:val="00E80587"/>
    <w:rsid w:val="00E8506B"/>
    <w:rsid w:val="00E95DEB"/>
    <w:rsid w:val="00EA68B9"/>
    <w:rsid w:val="00EC4AF1"/>
    <w:rsid w:val="00EE02D6"/>
    <w:rsid w:val="00EE1729"/>
    <w:rsid w:val="00EF4A1C"/>
    <w:rsid w:val="00F06326"/>
    <w:rsid w:val="00F21DB4"/>
    <w:rsid w:val="00F23BE9"/>
    <w:rsid w:val="00F33853"/>
    <w:rsid w:val="00F373CD"/>
    <w:rsid w:val="00F513E6"/>
    <w:rsid w:val="00F53B04"/>
    <w:rsid w:val="00F73A4D"/>
    <w:rsid w:val="00F83406"/>
    <w:rsid w:val="00FB0696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192FB992"/>
  <w15:chartTrackingRefBased/>
  <w15:docId w15:val="{27C9ECE6-1E0A-4ACB-A227-C3A1B81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96861"/>
    <w:pPr>
      <w:numPr>
        <w:numId w:val="7"/>
      </w:numPr>
      <w:ind w:left="1134" w:hanging="1134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C040F1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B1928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96861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C040F1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0B1928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F33853"/>
    <w:pPr>
      <w:keepNext/>
      <w:spacing w:before="0" w:after="0"/>
      <w:jc w:val="center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F33853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0B1928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F513E6"/>
    <w:rPr>
      <w:i/>
      <w:iCs/>
      <w:color w:val="4472C4" w:themeColor="accent1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0B1928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00259C"/>
    <w:rPr>
      <w:rFonts w:ascii="Lato" w:hAnsi="Lato"/>
      <w:i/>
      <w:iCs/>
      <w:color w:val="404040" w:themeColor="text1" w:themeTint="BF"/>
      <w:sz w:val="1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0259C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paragraph" w:customStyle="1" w:styleId="ListParagraph1">
    <w:name w:val="List Paragraph1"/>
    <w:basedOn w:val="Standaard"/>
    <w:rsid w:val="0000259C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shorttext">
    <w:name w:val="short_text"/>
    <w:rsid w:val="00C92B81"/>
  </w:style>
  <w:style w:type="paragraph" w:styleId="Plattetekst3">
    <w:name w:val="Body Text 3"/>
    <w:basedOn w:val="Standaard"/>
    <w:link w:val="Plattetekst3Char"/>
    <w:rsid w:val="00C92B81"/>
    <w:pPr>
      <w:widowControl w:val="0"/>
      <w:tabs>
        <w:tab w:val="left" w:pos="-1440"/>
        <w:tab w:val="left" w:pos="-720"/>
      </w:tabs>
      <w:spacing w:before="0" w:after="0" w:line="240" w:lineRule="auto"/>
    </w:pPr>
    <w:rPr>
      <w:rFonts w:ascii="CG Times" w:eastAsia="Times New Roman" w:hAnsi="CG Times" w:cs="Times New Roman"/>
      <w:b/>
      <w:spacing w:val="-3"/>
      <w:szCs w:val="20"/>
      <w:lang w:val="fr-FR"/>
    </w:rPr>
  </w:style>
  <w:style w:type="character" w:customStyle="1" w:styleId="Plattetekst3Char">
    <w:name w:val="Platte tekst 3 Char"/>
    <w:basedOn w:val="Standaardalinea-lettertype"/>
    <w:link w:val="Plattetekst3"/>
    <w:rsid w:val="00C92B81"/>
    <w:rPr>
      <w:rFonts w:ascii="CG Times" w:eastAsia="Times New Roman" w:hAnsi="CG Times" w:cs="Times New Roman"/>
      <w:b/>
      <w:spacing w:val="-3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BB641124-82AA-4C9F-8C5E-93C1942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3307</Words>
  <Characters>18191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ROSSEN</dc:creator>
  <cp:keywords/>
  <dc:description/>
  <cp:lastModifiedBy>An Van Den Bergh (FOD Economie - SPF Economie)</cp:lastModifiedBy>
  <cp:revision>18</cp:revision>
  <cp:lastPrinted>2021-03-09T10:02:00Z</cp:lastPrinted>
  <dcterms:created xsi:type="dcterms:W3CDTF">2022-02-11T09:44:00Z</dcterms:created>
  <dcterms:modified xsi:type="dcterms:W3CDTF">2023-01-20T13:58:00Z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