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09C04" w14:textId="0D3065E5" w:rsidR="008170D8" w:rsidRDefault="00F44BD5" w:rsidP="00F44BD5">
      <w:r>
        <w:rPr>
          <w:noProof/>
        </w:rPr>
        <w:drawing>
          <wp:inline distT="0" distB="0" distL="0" distR="0" wp14:anchorId="7ED83A05" wp14:editId="617CD626">
            <wp:extent cx="2432685" cy="96964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2685" cy="969645"/>
                    </a:xfrm>
                    <a:prstGeom prst="rect">
                      <a:avLst/>
                    </a:prstGeom>
                    <a:noFill/>
                  </pic:spPr>
                </pic:pic>
              </a:graphicData>
            </a:graphic>
          </wp:inline>
        </w:drawing>
      </w:r>
    </w:p>
    <w:p w14:paraId="79B573DA" w14:textId="77777777" w:rsidR="00F50C01" w:rsidRDefault="00F50C01" w:rsidP="00F50C01">
      <w:pPr>
        <w:pStyle w:val="Title-1-brochure"/>
      </w:pPr>
    </w:p>
    <w:p w14:paraId="620C10D0" w14:textId="3E19AAAD" w:rsidR="008170D8" w:rsidRPr="00941C6B" w:rsidRDefault="00F50C01" w:rsidP="00941C6B">
      <w:pPr>
        <w:pStyle w:val="Title-1-brochure"/>
        <w:rPr>
          <w:lang w:val="en-US"/>
        </w:rPr>
      </w:pPr>
      <w:r w:rsidRPr="00941C6B">
        <w:rPr>
          <w:lang w:val="en-US"/>
        </w:rPr>
        <w:t>Clean hydrogen for clean industry</w:t>
      </w:r>
    </w:p>
    <w:p w14:paraId="21A83525" w14:textId="77777777" w:rsidR="00F50C01" w:rsidRPr="00941C6B" w:rsidRDefault="00F50C01" w:rsidP="00941C6B">
      <w:pPr>
        <w:pStyle w:val="Title-1-brochure"/>
        <w:rPr>
          <w:lang w:val="en-US"/>
        </w:rPr>
      </w:pPr>
    </w:p>
    <w:p w14:paraId="3EF5A842" w14:textId="58DE450E" w:rsidR="005410D2" w:rsidRPr="00941C6B" w:rsidRDefault="00E011FB" w:rsidP="00F50C01">
      <w:pPr>
        <w:pStyle w:val="Title-1-brochure"/>
        <w:rPr>
          <w:lang w:val="en-US"/>
        </w:rPr>
      </w:pPr>
      <w:r w:rsidRPr="00941C6B">
        <w:rPr>
          <w:lang w:val="en-US"/>
        </w:rPr>
        <w:t>Convention</w:t>
      </w:r>
    </w:p>
    <w:p w14:paraId="279025D4" w14:textId="7873FBA0" w:rsidR="00EC408A" w:rsidRDefault="00F50C01" w:rsidP="00941C6B">
      <w:pPr>
        <w:jc w:val="center"/>
        <w:rPr>
          <w:lang w:val="fr-FR"/>
        </w:rPr>
      </w:pPr>
      <w:r>
        <w:rPr>
          <w:lang w:val="fr-FR"/>
        </w:rPr>
        <w:t>e</w:t>
      </w:r>
      <w:r w:rsidR="00E011FB" w:rsidRPr="00386309">
        <w:rPr>
          <w:lang w:val="fr-FR"/>
        </w:rPr>
        <w:t>ntre</w:t>
      </w:r>
      <w:r w:rsidR="002855EE">
        <w:rPr>
          <w:lang w:val="fr-FR"/>
        </w:rPr>
        <w:t> </w:t>
      </w:r>
      <w:r w:rsidR="00E011FB" w:rsidRPr="00386309">
        <w:rPr>
          <w:lang w:val="fr-FR"/>
        </w:rPr>
        <w:t>:</w:t>
      </w:r>
    </w:p>
    <w:p w14:paraId="45D04F56" w14:textId="6B844B66" w:rsidR="00EC408A" w:rsidRDefault="00E011FB" w:rsidP="00E011FB">
      <w:pPr>
        <w:rPr>
          <w:lang w:val="fr-FR"/>
        </w:rPr>
      </w:pPr>
      <w:r w:rsidRPr="00386309">
        <w:rPr>
          <w:lang w:val="fr-FR"/>
        </w:rPr>
        <w:t xml:space="preserve">l’État belge, représenté par </w:t>
      </w:r>
      <w:r w:rsidRPr="00386309">
        <w:rPr>
          <w:highlight w:val="yellow"/>
          <w:lang w:val="fr-FR"/>
        </w:rPr>
        <w:t>[XXX],</w:t>
      </w:r>
      <w:r w:rsidRPr="00386309">
        <w:rPr>
          <w:lang w:val="fr-FR"/>
        </w:rPr>
        <w:t xml:space="preserve"> </w:t>
      </w:r>
      <w:r w:rsidR="002855EE">
        <w:rPr>
          <w:highlight w:val="yellow"/>
          <w:lang w:val="fr-FR"/>
        </w:rPr>
        <w:t>m</w:t>
      </w:r>
      <w:r w:rsidRPr="0062730D">
        <w:rPr>
          <w:highlight w:val="yellow"/>
          <w:lang w:val="fr-FR"/>
        </w:rPr>
        <w:t xml:space="preserve">inistre | </w:t>
      </w:r>
      <w:r w:rsidR="002855EE">
        <w:rPr>
          <w:highlight w:val="yellow"/>
          <w:lang w:val="fr-FR"/>
        </w:rPr>
        <w:t>s</w:t>
      </w:r>
      <w:r w:rsidRPr="0062730D">
        <w:rPr>
          <w:highlight w:val="yellow"/>
          <w:lang w:val="fr-FR"/>
        </w:rPr>
        <w:t>ecrétaire d’</w:t>
      </w:r>
      <w:r w:rsidR="002855EE" w:rsidRPr="00386309">
        <w:rPr>
          <w:lang w:val="fr-FR"/>
        </w:rPr>
        <w:t>É</w:t>
      </w:r>
      <w:r w:rsidRPr="0062730D">
        <w:rPr>
          <w:highlight w:val="yellow"/>
          <w:lang w:val="fr-FR"/>
        </w:rPr>
        <w:t>tat</w:t>
      </w:r>
      <w:r w:rsidRPr="00386309">
        <w:rPr>
          <w:lang w:val="fr-FR"/>
        </w:rPr>
        <w:t xml:space="preserve"> </w:t>
      </w:r>
      <w:r w:rsidRPr="00386309">
        <w:rPr>
          <w:highlight w:val="yellow"/>
          <w:lang w:val="fr-FR"/>
        </w:rPr>
        <w:t>[XXX]</w:t>
      </w:r>
      <w:r w:rsidRPr="00386309">
        <w:rPr>
          <w:lang w:val="fr-FR"/>
        </w:rPr>
        <w:t>, ci-après dénommé « l’État »,</w:t>
      </w:r>
    </w:p>
    <w:p w14:paraId="0A6B2433" w14:textId="4D4D820A" w:rsidR="00E011FB" w:rsidRPr="00386309" w:rsidRDefault="00E011FB" w:rsidP="00E011FB">
      <w:pPr>
        <w:rPr>
          <w:lang w:val="fr-FR"/>
        </w:rPr>
      </w:pPr>
      <w:r w:rsidRPr="00386309">
        <w:rPr>
          <w:lang w:val="fr-FR"/>
        </w:rPr>
        <w:t xml:space="preserve">d’une part, </w:t>
      </w:r>
    </w:p>
    <w:p w14:paraId="5CC3EE15" w14:textId="31828862" w:rsidR="00EC408A" w:rsidRDefault="00EC408A" w:rsidP="00941C6B">
      <w:pPr>
        <w:spacing w:before="240"/>
        <w:rPr>
          <w:lang w:val="fr-FR"/>
        </w:rPr>
      </w:pPr>
      <w:r>
        <w:rPr>
          <w:lang w:val="fr-FR"/>
        </w:rPr>
        <w:t>e</w:t>
      </w:r>
      <w:r w:rsidR="00E011FB" w:rsidRPr="00386309">
        <w:rPr>
          <w:lang w:val="fr-FR"/>
        </w:rPr>
        <w:t>t</w:t>
      </w:r>
      <w:r w:rsidR="002855EE">
        <w:rPr>
          <w:lang w:val="fr-FR"/>
        </w:rPr>
        <w:t> </w:t>
      </w:r>
      <w:r w:rsidR="00E011FB" w:rsidRPr="00386309">
        <w:rPr>
          <w:lang w:val="fr-FR"/>
        </w:rPr>
        <w:t>:</w:t>
      </w:r>
    </w:p>
    <w:p w14:paraId="456E7E60" w14:textId="218D4708" w:rsidR="00EC408A" w:rsidRDefault="00E011FB" w:rsidP="00EC408A">
      <w:pPr>
        <w:spacing w:before="240"/>
        <w:rPr>
          <w:highlight w:val="yellow"/>
          <w:lang w:val="fr-FR"/>
        </w:rPr>
      </w:pPr>
      <w:r w:rsidRPr="00386309">
        <w:rPr>
          <w:highlight w:val="yellow"/>
          <w:lang w:val="fr-FR"/>
        </w:rPr>
        <w:t xml:space="preserve">XXXX, numéro d’entreprise XXXXXX, valablement représenté par </w:t>
      </w:r>
      <w:r w:rsidR="002855EE">
        <w:rPr>
          <w:highlight w:val="yellow"/>
          <w:lang w:val="fr-FR"/>
        </w:rPr>
        <w:t>m</w:t>
      </w:r>
      <w:r w:rsidRPr="00386309">
        <w:rPr>
          <w:highlight w:val="yellow"/>
          <w:lang w:val="fr-FR"/>
        </w:rPr>
        <w:t>onsieur/</w:t>
      </w:r>
      <w:r w:rsidR="002855EE">
        <w:rPr>
          <w:highlight w:val="yellow"/>
          <w:lang w:val="fr-FR"/>
        </w:rPr>
        <w:t>m</w:t>
      </w:r>
      <w:r w:rsidRPr="00386309">
        <w:rPr>
          <w:highlight w:val="yellow"/>
          <w:lang w:val="fr-FR"/>
        </w:rPr>
        <w:t>adame XXX, titre, numéro de registre national, dont le siège social est [numéro, rue, code postal, ville], ci-après dénommé « demandeur »,</w:t>
      </w:r>
    </w:p>
    <w:p w14:paraId="61E234EF" w14:textId="43EAC0BE" w:rsidR="00E011FB" w:rsidRPr="00386309" w:rsidRDefault="00E011FB" w:rsidP="00941C6B">
      <w:pPr>
        <w:spacing w:before="240"/>
        <w:rPr>
          <w:lang w:val="fr-FR"/>
        </w:rPr>
      </w:pPr>
      <w:r w:rsidRPr="00386309">
        <w:rPr>
          <w:highlight w:val="yellow"/>
          <w:lang w:val="fr-FR"/>
        </w:rPr>
        <w:t>d’autre part,</w:t>
      </w:r>
      <w:r w:rsidRPr="00386309">
        <w:rPr>
          <w:lang w:val="fr-FR"/>
        </w:rPr>
        <w:t xml:space="preserve"> </w:t>
      </w:r>
    </w:p>
    <w:p w14:paraId="21AA1CBA" w14:textId="3DD5AA29" w:rsidR="00E011FB" w:rsidRPr="00386309" w:rsidRDefault="00E011FB" w:rsidP="00E011FB">
      <w:pPr>
        <w:rPr>
          <w:lang w:val="fr-FR"/>
        </w:rPr>
      </w:pPr>
      <w:r w:rsidRPr="00386309">
        <w:rPr>
          <w:lang w:val="fr-FR"/>
        </w:rPr>
        <w:t>ci-après dénommées collectivement «</w:t>
      </w:r>
      <w:r w:rsidR="00EC408A">
        <w:rPr>
          <w:lang w:val="fr-FR"/>
        </w:rPr>
        <w:t> </w:t>
      </w:r>
      <w:r w:rsidRPr="00386309">
        <w:rPr>
          <w:lang w:val="fr-FR"/>
        </w:rPr>
        <w:t>les Parties</w:t>
      </w:r>
      <w:r w:rsidR="00EC408A">
        <w:rPr>
          <w:lang w:val="fr-FR"/>
        </w:rPr>
        <w:t> </w:t>
      </w:r>
      <w:r w:rsidRPr="00386309">
        <w:rPr>
          <w:lang w:val="fr-FR"/>
        </w:rPr>
        <w:t xml:space="preserve">». </w:t>
      </w:r>
    </w:p>
    <w:p w14:paraId="07D3C020" w14:textId="7E8FF867" w:rsidR="00E011FB" w:rsidRDefault="00E011FB" w:rsidP="00E011FB">
      <w:pPr>
        <w:rPr>
          <w:lang w:val="fr-FR"/>
        </w:rPr>
      </w:pPr>
      <w:r w:rsidRPr="00386309">
        <w:rPr>
          <w:lang w:val="fr-FR"/>
        </w:rPr>
        <w:t xml:space="preserve">Les </w:t>
      </w:r>
      <w:r w:rsidR="00F50C01">
        <w:rPr>
          <w:lang w:val="fr-FR"/>
        </w:rPr>
        <w:t>P</w:t>
      </w:r>
      <w:r w:rsidRPr="00386309">
        <w:rPr>
          <w:lang w:val="fr-FR"/>
        </w:rPr>
        <w:t>arties sont convenues de ce qui suit.</w:t>
      </w:r>
    </w:p>
    <w:p w14:paraId="11A4D2A0" w14:textId="77777777" w:rsidR="00E011FB" w:rsidRPr="00386309" w:rsidRDefault="00E011FB" w:rsidP="00E011FB">
      <w:pPr>
        <w:pStyle w:val="Titre3"/>
        <w:numPr>
          <w:ilvl w:val="0"/>
          <w:numId w:val="0"/>
        </w:numPr>
        <w:rPr>
          <w:lang w:val="fr"/>
        </w:rPr>
      </w:pPr>
      <w:r w:rsidRPr="00386309">
        <w:rPr>
          <w:lang w:val="fr"/>
        </w:rPr>
        <w:t>Introduction</w:t>
      </w:r>
    </w:p>
    <w:p w14:paraId="42036EC8" w14:textId="163067A3" w:rsidR="00E011FB" w:rsidRPr="00386309" w:rsidRDefault="00E011FB" w:rsidP="00E011FB">
      <w:r w:rsidRPr="00386309">
        <w:rPr>
          <w:lang w:val="fr"/>
        </w:rPr>
        <w:t xml:space="preserve">En application </w:t>
      </w:r>
      <w:r w:rsidRPr="00240282">
        <w:rPr>
          <w:lang w:val="fr"/>
        </w:rPr>
        <w:t xml:space="preserve">de </w:t>
      </w:r>
      <w:r w:rsidRPr="00240282">
        <w:t>l’article 2.06.4 de la loi du 23</w:t>
      </w:r>
      <w:r w:rsidRPr="00013B04">
        <w:t xml:space="preserve"> décembre 202</w:t>
      </w:r>
      <w:r w:rsidRPr="00240282">
        <w:t>1 contenant le Budget général des dépenses pour l’année budgétaire 2022</w:t>
      </w:r>
      <w:r w:rsidRPr="00240282">
        <w:rPr>
          <w:lang w:val="fr"/>
        </w:rPr>
        <w:t>, programme 41/1 – Le Fonds climat, transition et relance, l’arrêté royal</w:t>
      </w:r>
      <w:r w:rsidRPr="00386309">
        <w:rPr>
          <w:lang w:val="fr"/>
        </w:rPr>
        <w:t xml:space="preserve"> </w:t>
      </w:r>
      <w:r>
        <w:rPr>
          <w:lang w:val="fr"/>
        </w:rPr>
        <w:t xml:space="preserve">du  21 avril 2022 </w:t>
      </w:r>
      <w:r w:rsidRPr="00794273">
        <w:rPr>
          <w:lang w:val="fr"/>
        </w:rPr>
        <w:t>fixant les modalités d’utilisation du Fonds climat, transition et relance relatif à l’Axe 1 «</w:t>
      </w:r>
      <w:r w:rsidR="00EC408A">
        <w:rPr>
          <w:lang w:val="fr"/>
        </w:rPr>
        <w:t> </w:t>
      </w:r>
      <w:r w:rsidRPr="00794273">
        <w:rPr>
          <w:lang w:val="fr"/>
        </w:rPr>
        <w:t>Climat, durabilité et innovation</w:t>
      </w:r>
      <w:r w:rsidR="00EC408A">
        <w:rPr>
          <w:lang w:val="fr"/>
        </w:rPr>
        <w:t> </w:t>
      </w:r>
      <w:r w:rsidRPr="00794273">
        <w:rPr>
          <w:lang w:val="fr"/>
        </w:rPr>
        <w:t>», Composante 1.2 «</w:t>
      </w:r>
      <w:r w:rsidR="00EC408A">
        <w:rPr>
          <w:lang w:val="fr"/>
        </w:rPr>
        <w:t> </w:t>
      </w:r>
      <w:r w:rsidRPr="00794273">
        <w:rPr>
          <w:lang w:val="fr"/>
        </w:rPr>
        <w:t>Technologies énergétiques émergentes</w:t>
      </w:r>
      <w:r w:rsidR="00EC408A">
        <w:rPr>
          <w:lang w:val="fr"/>
        </w:rPr>
        <w:t> </w:t>
      </w:r>
      <w:r w:rsidRPr="00794273">
        <w:rPr>
          <w:lang w:val="fr"/>
        </w:rPr>
        <w:t>», ID I-1.15 «</w:t>
      </w:r>
      <w:r w:rsidR="00EC408A">
        <w:rPr>
          <w:lang w:val="fr"/>
        </w:rPr>
        <w:t> </w:t>
      </w:r>
      <w:r w:rsidRPr="00794273">
        <w:rPr>
          <w:lang w:val="fr"/>
        </w:rPr>
        <w:t>Une chaîne de valeur industrielle pour la transition vers l’hydrogène</w:t>
      </w:r>
      <w:r w:rsidR="00EC408A">
        <w:rPr>
          <w:lang w:val="fr"/>
        </w:rPr>
        <w:t> </w:t>
      </w:r>
      <w:r w:rsidRPr="00794273">
        <w:rPr>
          <w:lang w:val="fr"/>
        </w:rPr>
        <w:t>»</w:t>
      </w:r>
      <w:r w:rsidRPr="00386309">
        <w:rPr>
          <w:lang w:val="fr"/>
        </w:rPr>
        <w:t>- ci-après dénommé «</w:t>
      </w:r>
      <w:r w:rsidR="00EC408A">
        <w:rPr>
          <w:lang w:val="fr"/>
        </w:rPr>
        <w:t> </w:t>
      </w:r>
      <w:r w:rsidRPr="00386309">
        <w:rPr>
          <w:lang w:val="fr"/>
        </w:rPr>
        <w:t xml:space="preserve">l’arrêté » - accorde une subvention de </w:t>
      </w:r>
      <w:r w:rsidRPr="00386309">
        <w:rPr>
          <w:highlight w:val="yellow"/>
          <w:lang w:val="fr"/>
        </w:rPr>
        <w:t xml:space="preserve">XXXXX </w:t>
      </w:r>
      <w:r w:rsidR="00EC408A">
        <w:rPr>
          <w:highlight w:val="yellow"/>
          <w:lang w:val="fr"/>
        </w:rPr>
        <w:t>euros</w:t>
      </w:r>
      <w:r w:rsidRPr="00386309">
        <w:rPr>
          <w:lang w:val="fr"/>
        </w:rPr>
        <w:t xml:space="preserve"> au demandeur.</w:t>
      </w:r>
    </w:p>
    <w:p w14:paraId="41435E85" w14:textId="77777777" w:rsidR="00E011FB" w:rsidRPr="00386309" w:rsidRDefault="00E011FB" w:rsidP="00E011FB">
      <w:r w:rsidRPr="00386309">
        <w:rPr>
          <w:lang w:val="fr"/>
        </w:rPr>
        <w:t xml:space="preserve">L’arrêté prévoit l’élaboration </w:t>
      </w:r>
      <w:r>
        <w:rPr>
          <w:lang w:val="fr"/>
        </w:rPr>
        <w:t>d’une convention</w:t>
      </w:r>
      <w:r w:rsidRPr="00386309">
        <w:rPr>
          <w:lang w:val="fr"/>
        </w:rPr>
        <w:t xml:space="preserve"> fixant les modalités </w:t>
      </w:r>
      <w:r>
        <w:rPr>
          <w:lang w:val="fr"/>
        </w:rPr>
        <w:t>relatives à l’octroi à l’utilisation de la subvention</w:t>
      </w:r>
      <w:r w:rsidRPr="00386309">
        <w:rPr>
          <w:lang w:val="fr"/>
        </w:rPr>
        <w:t>.</w:t>
      </w:r>
    </w:p>
    <w:p w14:paraId="26D55377" w14:textId="5A0486D2" w:rsidR="00E011FB" w:rsidRPr="00386309" w:rsidRDefault="00E011FB" w:rsidP="00E011FB">
      <w:r w:rsidRPr="00386309">
        <w:rPr>
          <w:lang w:val="fr"/>
        </w:rPr>
        <w:t xml:space="preserve">L’État est représenté pour ses contacts avec le demandeur et la mise en œuvre du présent protocole par </w:t>
      </w:r>
      <w:r w:rsidRPr="00386309">
        <w:rPr>
          <w:highlight w:val="yellow"/>
          <w:lang w:val="fr"/>
        </w:rPr>
        <w:t>XXXX</w:t>
      </w:r>
      <w:r>
        <w:rPr>
          <w:lang w:val="fr"/>
        </w:rPr>
        <w:t xml:space="preserve"> de la D</w:t>
      </w:r>
      <w:r w:rsidR="001869F2">
        <w:rPr>
          <w:lang w:val="fr"/>
        </w:rPr>
        <w:t>irection générale</w:t>
      </w:r>
      <w:r>
        <w:rPr>
          <w:lang w:val="fr"/>
        </w:rPr>
        <w:t xml:space="preserve"> </w:t>
      </w:r>
      <w:r w:rsidR="001869F2">
        <w:rPr>
          <w:lang w:val="fr"/>
        </w:rPr>
        <w:t>de l’</w:t>
      </w:r>
      <w:r>
        <w:rPr>
          <w:lang w:val="fr"/>
        </w:rPr>
        <w:t>Energie</w:t>
      </w:r>
      <w:r w:rsidRPr="00386309">
        <w:rPr>
          <w:lang w:val="fr"/>
        </w:rPr>
        <w:t>, ci-après dénommée « l’autorité administrative ».</w:t>
      </w:r>
    </w:p>
    <w:p w14:paraId="2340DA85" w14:textId="056E6E70" w:rsidR="00E011FB" w:rsidRPr="00E011FB" w:rsidRDefault="00E011FB" w:rsidP="00E011FB">
      <w:pPr>
        <w:pStyle w:val="Titre3"/>
        <w:numPr>
          <w:ilvl w:val="0"/>
          <w:numId w:val="0"/>
        </w:numPr>
        <w:rPr>
          <w:lang w:val="fr"/>
        </w:rPr>
      </w:pPr>
      <w:r w:rsidRPr="00E011FB">
        <w:rPr>
          <w:lang w:val="fr"/>
        </w:rPr>
        <w:t>Article 1 – Objet de la convention</w:t>
      </w:r>
    </w:p>
    <w:p w14:paraId="0A0BD31F" w14:textId="2F4FC722" w:rsidR="00E011FB" w:rsidRPr="00386309" w:rsidRDefault="00E011FB" w:rsidP="00E011FB">
      <w:pPr>
        <w:rPr>
          <w:lang w:val="fr-FR" w:eastAsia="fr-BE"/>
        </w:rPr>
      </w:pPr>
      <w:r w:rsidRPr="00386309">
        <w:rPr>
          <w:lang w:val="fr-FR" w:eastAsia="fr-BE"/>
        </w:rPr>
        <w:t xml:space="preserve">§ 1. </w:t>
      </w:r>
      <w:r>
        <w:rPr>
          <w:lang w:val="fr-FR" w:eastAsia="fr-BE"/>
        </w:rPr>
        <w:t>La présente convention</w:t>
      </w:r>
      <w:r w:rsidRPr="00386309">
        <w:rPr>
          <w:lang w:val="fr-FR" w:eastAsia="fr-BE"/>
        </w:rPr>
        <w:t>, sans préjudice des dispositions juridiques et réglementaires relatives à ces questions, réglemente les modalités relatives à l’octroi et à l’utilisation de la subvention susmentionnée ainsi que les conditions de coopération entre les parties dans ce contexte.</w:t>
      </w:r>
    </w:p>
    <w:p w14:paraId="456821F4" w14:textId="5200F59E" w:rsidR="00E011FB" w:rsidRPr="00386309" w:rsidRDefault="00E011FB" w:rsidP="00E011FB">
      <w:pPr>
        <w:rPr>
          <w:lang w:val="fr-FR" w:eastAsia="fr-BE"/>
        </w:rPr>
      </w:pPr>
      <w:r w:rsidRPr="00240282">
        <w:rPr>
          <w:lang w:val="fr-FR" w:eastAsia="fr-BE"/>
        </w:rPr>
        <w:t>Il s’agit de la convention visée à l’article 13 de</w:t>
      </w:r>
      <w:r w:rsidR="00941C6B">
        <w:rPr>
          <w:lang w:val="fr-FR" w:eastAsia="fr-BE"/>
        </w:rPr>
        <w:t xml:space="preserve"> l’</w:t>
      </w:r>
      <w:hyperlink r:id="rId12" w:history="1">
        <w:r w:rsidRPr="00941C6B">
          <w:rPr>
            <w:rStyle w:val="Lienhypertexte"/>
            <w:lang w:val="fr-FR" w:eastAsia="fr-BE"/>
          </w:rPr>
          <w:t>arrêté royal du 21 avril 2022</w:t>
        </w:r>
      </w:hyperlink>
      <w:r w:rsidRPr="00240282">
        <w:rPr>
          <w:lang w:val="fr-FR" w:eastAsia="fr-BE"/>
        </w:rPr>
        <w:t>.</w:t>
      </w:r>
      <w:r w:rsidRPr="00386309">
        <w:rPr>
          <w:lang w:val="fr-FR" w:eastAsia="fr-BE"/>
        </w:rPr>
        <w:t xml:space="preserve"> </w:t>
      </w:r>
    </w:p>
    <w:p w14:paraId="502FC861" w14:textId="0CB604F5" w:rsidR="00E011FB" w:rsidRPr="00386309" w:rsidRDefault="00E011FB" w:rsidP="00E011FB">
      <w:pPr>
        <w:rPr>
          <w:lang w:val="fr-FR" w:eastAsia="fr-BE"/>
        </w:rPr>
      </w:pPr>
      <w:r w:rsidRPr="00386309">
        <w:rPr>
          <w:lang w:val="fr-FR" w:eastAsia="fr-BE"/>
        </w:rPr>
        <w:t xml:space="preserve">§ 2. Le projet subventionné concerne </w:t>
      </w:r>
      <w:r w:rsidRPr="00386309">
        <w:rPr>
          <w:highlight w:val="yellow"/>
          <w:lang w:val="fr-FR" w:eastAsia="fr-BE"/>
        </w:rPr>
        <w:t>[Objet de la subvention, description synthétique du projet, énumérations des cibles/jalons tels qu’approuvés dans le plan]</w:t>
      </w:r>
      <w:r w:rsidRPr="00386309">
        <w:rPr>
          <w:lang w:val="fr-FR" w:eastAsia="fr-BE"/>
        </w:rPr>
        <w:t xml:space="preserve"> et </w:t>
      </w:r>
      <w:r w:rsidRPr="006817F3">
        <w:rPr>
          <w:lang w:val="fr-FR" w:eastAsia="fr-BE"/>
        </w:rPr>
        <w:t xml:space="preserve">est </w:t>
      </w:r>
      <w:r w:rsidRPr="00AB7FCE">
        <w:rPr>
          <w:lang w:val="fr-FR" w:eastAsia="fr-BE"/>
        </w:rPr>
        <w:t xml:space="preserve">accepté par l’État sur la base </w:t>
      </w:r>
      <w:r w:rsidRPr="00AB7FCE">
        <w:rPr>
          <w:lang w:val="fr-FR" w:eastAsia="fr-BE"/>
        </w:rPr>
        <w:lastRenderedPageBreak/>
        <w:t>de la décision d’exécution du Conseil de l’Union européenne relative à l’approbation de l’évaluation du plan pour la reprise et la résilience pour la Belgique.</w:t>
      </w:r>
    </w:p>
    <w:p w14:paraId="11F6C850" w14:textId="48EDB844" w:rsidR="00E011FB" w:rsidRPr="00E011FB" w:rsidRDefault="00E011FB" w:rsidP="00E011FB">
      <w:pPr>
        <w:pStyle w:val="Titre3"/>
        <w:numPr>
          <w:ilvl w:val="0"/>
          <w:numId w:val="0"/>
        </w:numPr>
        <w:rPr>
          <w:lang w:val="fr"/>
        </w:rPr>
      </w:pPr>
      <w:r w:rsidRPr="00E011FB">
        <w:rPr>
          <w:lang w:val="fr"/>
        </w:rPr>
        <w:t>Article 2</w:t>
      </w:r>
      <w:r w:rsidR="00B5075A" w:rsidRPr="00B5075A">
        <w:t xml:space="preserve"> – </w:t>
      </w:r>
      <w:r w:rsidRPr="00E011FB">
        <w:rPr>
          <w:lang w:val="fr"/>
        </w:rPr>
        <w:t>Planification pluriannuelle de la subvention</w:t>
      </w:r>
    </w:p>
    <w:p w14:paraId="20C458E6" w14:textId="3DE8E0E1" w:rsidR="00E011FB" w:rsidRPr="00386309" w:rsidRDefault="00E011FB" w:rsidP="00E011FB">
      <w:pPr>
        <w:spacing w:after="240"/>
        <w:rPr>
          <w:lang w:val="fr-FR"/>
        </w:rPr>
      </w:pPr>
      <w:r w:rsidRPr="00386309">
        <w:rPr>
          <w:lang w:val="fr-FR"/>
        </w:rPr>
        <w:t xml:space="preserve">§ 1. Le montant de la subvention </w:t>
      </w:r>
      <w:r w:rsidRPr="00360217">
        <w:rPr>
          <w:highlight w:val="yellow"/>
          <w:lang w:val="fr-FR"/>
        </w:rPr>
        <w:t>HTVA</w:t>
      </w:r>
      <w:r>
        <w:rPr>
          <w:lang w:val="fr-FR"/>
        </w:rPr>
        <w:t xml:space="preserve"> </w:t>
      </w:r>
      <w:r w:rsidRPr="00386309">
        <w:rPr>
          <w:lang w:val="fr-FR"/>
        </w:rPr>
        <w:t>est réparti sur les années *** en crédits d’engagement et de liquidation suivant le calendrier repris ci-dessous</w:t>
      </w:r>
      <w:r w:rsidR="0097328D">
        <w:rPr>
          <w:lang w:val="fr-FR"/>
        </w:rPr>
        <w:t>.</w:t>
      </w:r>
    </w:p>
    <w:tbl>
      <w:tblPr>
        <w:tblStyle w:val="Grilledutableau"/>
        <w:tblW w:w="5000" w:type="pct"/>
        <w:tblLook w:val="04A0" w:firstRow="1" w:lastRow="0" w:firstColumn="1" w:lastColumn="0" w:noHBand="0" w:noVBand="1"/>
      </w:tblPr>
      <w:tblGrid>
        <w:gridCol w:w="2174"/>
        <w:gridCol w:w="1058"/>
        <w:gridCol w:w="1053"/>
        <w:gridCol w:w="1053"/>
        <w:gridCol w:w="1053"/>
        <w:gridCol w:w="1053"/>
        <w:gridCol w:w="1050"/>
      </w:tblGrid>
      <w:tr w:rsidR="00EC408A" w:rsidRPr="00485AFC" w14:paraId="1EA11D16" w14:textId="77777777" w:rsidTr="00941C6B">
        <w:tc>
          <w:tcPr>
            <w:tcW w:w="1279" w:type="pct"/>
          </w:tcPr>
          <w:p w14:paraId="02EDBCC7" w14:textId="77777777" w:rsidR="00E011FB" w:rsidRPr="00386309" w:rsidRDefault="00E011FB" w:rsidP="00E011FB">
            <w:pPr>
              <w:pStyle w:val="Table"/>
              <w:rPr>
                <w:lang w:val="fr-FR"/>
              </w:rPr>
            </w:pPr>
          </w:p>
        </w:tc>
        <w:tc>
          <w:tcPr>
            <w:tcW w:w="622" w:type="pct"/>
            <w:vAlign w:val="center"/>
          </w:tcPr>
          <w:p w14:paraId="756FD2E4" w14:textId="77777777" w:rsidR="00E011FB" w:rsidRPr="00386309" w:rsidRDefault="00E011FB" w:rsidP="00F50C01">
            <w:pPr>
              <w:pStyle w:val="Table"/>
              <w:jc w:val="center"/>
              <w:rPr>
                <w:lang w:val="fr-FR"/>
              </w:rPr>
            </w:pPr>
            <w:r w:rsidRPr="00386309">
              <w:rPr>
                <w:lang w:val="fr-FR"/>
              </w:rPr>
              <w:t>202*</w:t>
            </w:r>
          </w:p>
        </w:tc>
        <w:tc>
          <w:tcPr>
            <w:tcW w:w="620" w:type="pct"/>
            <w:vAlign w:val="center"/>
          </w:tcPr>
          <w:p w14:paraId="5DFA624D" w14:textId="77777777" w:rsidR="00E011FB" w:rsidRPr="00386309" w:rsidRDefault="00E011FB" w:rsidP="00F50C01">
            <w:pPr>
              <w:pStyle w:val="Table"/>
              <w:jc w:val="center"/>
              <w:rPr>
                <w:lang w:val="fr-FR"/>
              </w:rPr>
            </w:pPr>
            <w:r w:rsidRPr="00386309">
              <w:rPr>
                <w:lang w:val="fr-FR"/>
              </w:rPr>
              <w:t>202*</w:t>
            </w:r>
          </w:p>
        </w:tc>
        <w:tc>
          <w:tcPr>
            <w:tcW w:w="620" w:type="pct"/>
            <w:vAlign w:val="center"/>
          </w:tcPr>
          <w:p w14:paraId="6999FCE9" w14:textId="77777777" w:rsidR="00E011FB" w:rsidRPr="00386309" w:rsidRDefault="00E011FB" w:rsidP="00F50C01">
            <w:pPr>
              <w:pStyle w:val="Table"/>
              <w:jc w:val="center"/>
              <w:rPr>
                <w:lang w:val="fr-FR"/>
              </w:rPr>
            </w:pPr>
            <w:r w:rsidRPr="00386309">
              <w:rPr>
                <w:lang w:val="fr-FR"/>
              </w:rPr>
              <w:t>202*</w:t>
            </w:r>
          </w:p>
        </w:tc>
        <w:tc>
          <w:tcPr>
            <w:tcW w:w="620" w:type="pct"/>
            <w:vAlign w:val="center"/>
          </w:tcPr>
          <w:p w14:paraId="538867C9" w14:textId="77777777" w:rsidR="00E011FB" w:rsidRPr="00386309" w:rsidRDefault="00E011FB" w:rsidP="00F50C01">
            <w:pPr>
              <w:pStyle w:val="Table"/>
              <w:jc w:val="center"/>
              <w:rPr>
                <w:lang w:val="fr-FR"/>
              </w:rPr>
            </w:pPr>
            <w:r w:rsidRPr="00386309">
              <w:rPr>
                <w:lang w:val="fr-FR"/>
              </w:rPr>
              <w:t>202*</w:t>
            </w:r>
          </w:p>
        </w:tc>
        <w:tc>
          <w:tcPr>
            <w:tcW w:w="620" w:type="pct"/>
            <w:vAlign w:val="center"/>
          </w:tcPr>
          <w:p w14:paraId="33026E80" w14:textId="77777777" w:rsidR="00E011FB" w:rsidRPr="00386309" w:rsidRDefault="00E011FB" w:rsidP="00F50C01">
            <w:pPr>
              <w:pStyle w:val="Table"/>
              <w:jc w:val="center"/>
              <w:rPr>
                <w:lang w:val="fr-FR"/>
              </w:rPr>
            </w:pPr>
            <w:r w:rsidRPr="00386309">
              <w:rPr>
                <w:lang w:val="fr-FR"/>
              </w:rPr>
              <w:t>202*</w:t>
            </w:r>
          </w:p>
        </w:tc>
        <w:tc>
          <w:tcPr>
            <w:tcW w:w="618" w:type="pct"/>
            <w:vAlign w:val="center"/>
          </w:tcPr>
          <w:p w14:paraId="7F55EE3A" w14:textId="77777777" w:rsidR="00E011FB" w:rsidRPr="00386309" w:rsidRDefault="00E011FB" w:rsidP="00F50C01">
            <w:pPr>
              <w:pStyle w:val="Table"/>
              <w:jc w:val="center"/>
              <w:rPr>
                <w:lang w:val="fr-FR"/>
              </w:rPr>
            </w:pPr>
            <w:r w:rsidRPr="00386309">
              <w:rPr>
                <w:lang w:val="fr-FR"/>
              </w:rPr>
              <w:t>202*</w:t>
            </w:r>
          </w:p>
        </w:tc>
      </w:tr>
      <w:tr w:rsidR="00EC408A" w:rsidRPr="00485AFC" w14:paraId="2C33F73D" w14:textId="77777777" w:rsidTr="00941C6B">
        <w:tc>
          <w:tcPr>
            <w:tcW w:w="1279" w:type="pct"/>
          </w:tcPr>
          <w:p w14:paraId="25E58BC4" w14:textId="2A07E238" w:rsidR="00E011FB" w:rsidRPr="00386309" w:rsidRDefault="00E011FB" w:rsidP="00F50C01">
            <w:pPr>
              <w:pStyle w:val="Table"/>
              <w:spacing w:before="60" w:after="60"/>
              <w:rPr>
                <w:lang w:val="fr-FR"/>
              </w:rPr>
            </w:pPr>
            <w:r w:rsidRPr="00386309">
              <w:rPr>
                <w:lang w:val="fr-FR"/>
              </w:rPr>
              <w:t>C</w:t>
            </w:r>
            <w:r w:rsidR="00EC408A">
              <w:rPr>
                <w:lang w:val="fr-FR"/>
              </w:rPr>
              <w:t>rédit d’engagement</w:t>
            </w:r>
          </w:p>
        </w:tc>
        <w:tc>
          <w:tcPr>
            <w:tcW w:w="622" w:type="pct"/>
          </w:tcPr>
          <w:p w14:paraId="722FAF93" w14:textId="77777777" w:rsidR="00E011FB" w:rsidRPr="00386309" w:rsidRDefault="00E011FB" w:rsidP="0097328D">
            <w:pPr>
              <w:pStyle w:val="Table"/>
              <w:spacing w:before="60" w:after="60"/>
              <w:rPr>
                <w:lang w:val="fr-FR"/>
              </w:rPr>
            </w:pPr>
          </w:p>
        </w:tc>
        <w:tc>
          <w:tcPr>
            <w:tcW w:w="620" w:type="pct"/>
          </w:tcPr>
          <w:p w14:paraId="2A6F7E49" w14:textId="77777777" w:rsidR="00E011FB" w:rsidRPr="00386309" w:rsidRDefault="00E011FB" w:rsidP="0097328D">
            <w:pPr>
              <w:pStyle w:val="Table"/>
              <w:spacing w:before="60" w:after="60"/>
              <w:rPr>
                <w:lang w:val="fr-FR"/>
              </w:rPr>
            </w:pPr>
          </w:p>
        </w:tc>
        <w:tc>
          <w:tcPr>
            <w:tcW w:w="620" w:type="pct"/>
          </w:tcPr>
          <w:p w14:paraId="124C6EF2" w14:textId="77777777" w:rsidR="00E011FB" w:rsidRPr="00386309" w:rsidRDefault="00E011FB" w:rsidP="0097328D">
            <w:pPr>
              <w:pStyle w:val="Table"/>
              <w:spacing w:before="60" w:after="60"/>
              <w:rPr>
                <w:lang w:val="fr-FR"/>
              </w:rPr>
            </w:pPr>
          </w:p>
        </w:tc>
        <w:tc>
          <w:tcPr>
            <w:tcW w:w="620" w:type="pct"/>
          </w:tcPr>
          <w:p w14:paraId="1948E4C7" w14:textId="77777777" w:rsidR="00E011FB" w:rsidRPr="00386309" w:rsidRDefault="00E011FB" w:rsidP="0097328D">
            <w:pPr>
              <w:pStyle w:val="Table"/>
              <w:spacing w:before="60" w:after="60"/>
              <w:rPr>
                <w:lang w:val="fr-FR"/>
              </w:rPr>
            </w:pPr>
          </w:p>
        </w:tc>
        <w:tc>
          <w:tcPr>
            <w:tcW w:w="620" w:type="pct"/>
          </w:tcPr>
          <w:p w14:paraId="1C7D55E0" w14:textId="77777777" w:rsidR="00E011FB" w:rsidRPr="00386309" w:rsidRDefault="00E011FB" w:rsidP="0097328D">
            <w:pPr>
              <w:pStyle w:val="Table"/>
              <w:spacing w:before="60" w:after="60"/>
              <w:rPr>
                <w:lang w:val="fr-FR"/>
              </w:rPr>
            </w:pPr>
          </w:p>
        </w:tc>
        <w:tc>
          <w:tcPr>
            <w:tcW w:w="618" w:type="pct"/>
          </w:tcPr>
          <w:p w14:paraId="0F5432F7" w14:textId="77777777" w:rsidR="00E011FB" w:rsidRPr="00386309" w:rsidRDefault="00E011FB" w:rsidP="0097328D">
            <w:pPr>
              <w:pStyle w:val="Table"/>
              <w:spacing w:before="60" w:after="60"/>
              <w:rPr>
                <w:lang w:val="fr-FR"/>
              </w:rPr>
            </w:pPr>
          </w:p>
        </w:tc>
      </w:tr>
      <w:tr w:rsidR="00EC408A" w:rsidRPr="00485AFC" w14:paraId="31CD0752" w14:textId="77777777" w:rsidTr="00941C6B">
        <w:tc>
          <w:tcPr>
            <w:tcW w:w="1279" w:type="pct"/>
          </w:tcPr>
          <w:p w14:paraId="60A099E7" w14:textId="0B7E46F4" w:rsidR="00E011FB" w:rsidRPr="00386309" w:rsidRDefault="00E011FB" w:rsidP="00F50C01">
            <w:pPr>
              <w:pStyle w:val="Table"/>
              <w:spacing w:before="60" w:after="60"/>
              <w:rPr>
                <w:lang w:val="fr-FR"/>
              </w:rPr>
            </w:pPr>
            <w:r w:rsidRPr="00386309">
              <w:rPr>
                <w:lang w:val="fr-FR"/>
              </w:rPr>
              <w:t>C</w:t>
            </w:r>
            <w:r w:rsidR="00EC408A">
              <w:rPr>
                <w:lang w:val="fr-FR"/>
              </w:rPr>
              <w:t>rédit de liquidation</w:t>
            </w:r>
          </w:p>
        </w:tc>
        <w:tc>
          <w:tcPr>
            <w:tcW w:w="622" w:type="pct"/>
          </w:tcPr>
          <w:p w14:paraId="0C3D1C58" w14:textId="77777777" w:rsidR="00E011FB" w:rsidRPr="00386309" w:rsidRDefault="00E011FB" w:rsidP="0097328D">
            <w:pPr>
              <w:pStyle w:val="Table"/>
              <w:spacing w:before="60" w:after="60"/>
              <w:rPr>
                <w:lang w:val="fr-FR"/>
              </w:rPr>
            </w:pPr>
          </w:p>
        </w:tc>
        <w:tc>
          <w:tcPr>
            <w:tcW w:w="620" w:type="pct"/>
          </w:tcPr>
          <w:p w14:paraId="1F752540" w14:textId="77777777" w:rsidR="00E011FB" w:rsidRPr="00386309" w:rsidRDefault="00E011FB" w:rsidP="0097328D">
            <w:pPr>
              <w:pStyle w:val="Table"/>
              <w:spacing w:before="60" w:after="60"/>
              <w:rPr>
                <w:lang w:val="fr-FR"/>
              </w:rPr>
            </w:pPr>
          </w:p>
        </w:tc>
        <w:tc>
          <w:tcPr>
            <w:tcW w:w="620" w:type="pct"/>
          </w:tcPr>
          <w:p w14:paraId="6C22D473" w14:textId="77777777" w:rsidR="00E011FB" w:rsidRPr="00386309" w:rsidRDefault="00E011FB" w:rsidP="0097328D">
            <w:pPr>
              <w:pStyle w:val="Table"/>
              <w:spacing w:before="60" w:after="60"/>
              <w:rPr>
                <w:lang w:val="fr-FR"/>
              </w:rPr>
            </w:pPr>
          </w:p>
        </w:tc>
        <w:tc>
          <w:tcPr>
            <w:tcW w:w="620" w:type="pct"/>
          </w:tcPr>
          <w:p w14:paraId="0F3D3591" w14:textId="77777777" w:rsidR="00E011FB" w:rsidRPr="00386309" w:rsidRDefault="00E011FB" w:rsidP="0097328D">
            <w:pPr>
              <w:pStyle w:val="Table"/>
              <w:spacing w:before="60" w:after="60"/>
              <w:rPr>
                <w:lang w:val="fr-FR"/>
              </w:rPr>
            </w:pPr>
          </w:p>
        </w:tc>
        <w:tc>
          <w:tcPr>
            <w:tcW w:w="620" w:type="pct"/>
          </w:tcPr>
          <w:p w14:paraId="3A3CC3D5" w14:textId="77777777" w:rsidR="00E011FB" w:rsidRPr="00386309" w:rsidRDefault="00E011FB" w:rsidP="0097328D">
            <w:pPr>
              <w:pStyle w:val="Table"/>
              <w:spacing w:before="60" w:after="60"/>
              <w:rPr>
                <w:lang w:val="fr-FR"/>
              </w:rPr>
            </w:pPr>
          </w:p>
        </w:tc>
        <w:tc>
          <w:tcPr>
            <w:tcW w:w="618" w:type="pct"/>
          </w:tcPr>
          <w:p w14:paraId="48319925" w14:textId="77777777" w:rsidR="00E011FB" w:rsidRPr="00386309" w:rsidRDefault="00E011FB" w:rsidP="0097328D">
            <w:pPr>
              <w:pStyle w:val="Table"/>
              <w:spacing w:before="60" w:after="60"/>
              <w:rPr>
                <w:lang w:val="fr-FR"/>
              </w:rPr>
            </w:pPr>
          </w:p>
        </w:tc>
      </w:tr>
    </w:tbl>
    <w:p w14:paraId="5C203061" w14:textId="0674B27F" w:rsidR="00E011FB" w:rsidRDefault="00E011FB" w:rsidP="00E011FB">
      <w:pPr>
        <w:spacing w:before="240" w:after="240"/>
        <w:rPr>
          <w:lang w:val="fr-FR"/>
        </w:rPr>
      </w:pPr>
      <w:r w:rsidRPr="00386309">
        <w:rPr>
          <w:lang w:val="fr-FR"/>
        </w:rPr>
        <w:t xml:space="preserve">§ </w:t>
      </w:r>
      <w:r>
        <w:rPr>
          <w:lang w:val="fr-FR"/>
        </w:rPr>
        <w:t>2</w:t>
      </w:r>
      <w:r w:rsidRPr="00386309">
        <w:rPr>
          <w:lang w:val="fr-FR"/>
        </w:rPr>
        <w:t xml:space="preserve">. Le montant de la subvention </w:t>
      </w:r>
      <w:r w:rsidRPr="00E6075C">
        <w:rPr>
          <w:highlight w:val="yellow"/>
          <w:lang w:val="fr-FR"/>
        </w:rPr>
        <w:t>pour la TVA</w:t>
      </w:r>
      <w:r>
        <w:rPr>
          <w:lang w:val="fr-FR"/>
        </w:rPr>
        <w:t xml:space="preserve"> </w:t>
      </w:r>
      <w:r w:rsidRPr="00386309">
        <w:rPr>
          <w:lang w:val="fr-FR"/>
        </w:rPr>
        <w:t xml:space="preserve">est réparti sur les années </w:t>
      </w:r>
      <w:r w:rsidRPr="00240282">
        <w:rPr>
          <w:highlight w:val="yellow"/>
          <w:lang w:val="fr-FR"/>
        </w:rPr>
        <w:t>***</w:t>
      </w:r>
      <w:r w:rsidRPr="00386309">
        <w:rPr>
          <w:lang w:val="fr-FR"/>
        </w:rPr>
        <w:t xml:space="preserve"> en crédits d’engagement et de liquidation suivant le calendrier repris ci-dessous</w:t>
      </w:r>
      <w:r w:rsidR="0097328D">
        <w:rPr>
          <w:lang w:val="fr-FR"/>
        </w:rPr>
        <w:t>.</w:t>
      </w:r>
    </w:p>
    <w:tbl>
      <w:tblPr>
        <w:tblStyle w:val="Grilledutableau"/>
        <w:tblW w:w="5028" w:type="pct"/>
        <w:tblLook w:val="04A0" w:firstRow="1" w:lastRow="0" w:firstColumn="1" w:lastColumn="0" w:noHBand="0" w:noVBand="1"/>
      </w:tblPr>
      <w:tblGrid>
        <w:gridCol w:w="2179"/>
        <w:gridCol w:w="1060"/>
        <w:gridCol w:w="1063"/>
        <w:gridCol w:w="1063"/>
        <w:gridCol w:w="1059"/>
        <w:gridCol w:w="1059"/>
        <w:gridCol w:w="1059"/>
      </w:tblGrid>
      <w:tr w:rsidR="00B5075A" w:rsidRPr="00386309" w14:paraId="783C69F2" w14:textId="77777777" w:rsidTr="00941C6B">
        <w:tc>
          <w:tcPr>
            <w:tcW w:w="1275" w:type="pct"/>
          </w:tcPr>
          <w:p w14:paraId="1A5E0362" w14:textId="77777777" w:rsidR="00E011FB" w:rsidRPr="00386309" w:rsidRDefault="00E011FB" w:rsidP="00E011FB">
            <w:pPr>
              <w:pStyle w:val="Table"/>
              <w:rPr>
                <w:lang w:val="fr-FR"/>
              </w:rPr>
            </w:pPr>
          </w:p>
        </w:tc>
        <w:tc>
          <w:tcPr>
            <w:tcW w:w="620" w:type="pct"/>
            <w:vAlign w:val="center"/>
          </w:tcPr>
          <w:p w14:paraId="23B49428" w14:textId="77777777" w:rsidR="00E011FB" w:rsidRPr="00386309" w:rsidRDefault="00E011FB" w:rsidP="00F50C01">
            <w:pPr>
              <w:pStyle w:val="Table"/>
              <w:jc w:val="center"/>
              <w:rPr>
                <w:lang w:val="fr-FR"/>
              </w:rPr>
            </w:pPr>
            <w:r w:rsidRPr="00386309">
              <w:rPr>
                <w:lang w:val="fr-FR"/>
              </w:rPr>
              <w:t>202*</w:t>
            </w:r>
          </w:p>
        </w:tc>
        <w:tc>
          <w:tcPr>
            <w:tcW w:w="622" w:type="pct"/>
            <w:vAlign w:val="center"/>
          </w:tcPr>
          <w:p w14:paraId="61A475EE" w14:textId="77777777" w:rsidR="00E011FB" w:rsidRPr="00386309" w:rsidRDefault="00E011FB" w:rsidP="00F50C01">
            <w:pPr>
              <w:pStyle w:val="Table"/>
              <w:jc w:val="center"/>
              <w:rPr>
                <w:lang w:val="fr-FR"/>
              </w:rPr>
            </w:pPr>
            <w:r w:rsidRPr="00386309">
              <w:rPr>
                <w:lang w:val="fr-FR"/>
              </w:rPr>
              <w:t>202*</w:t>
            </w:r>
          </w:p>
        </w:tc>
        <w:tc>
          <w:tcPr>
            <w:tcW w:w="622" w:type="pct"/>
            <w:vAlign w:val="center"/>
          </w:tcPr>
          <w:p w14:paraId="7D4D1C86" w14:textId="77777777" w:rsidR="00E011FB" w:rsidRPr="00386309" w:rsidRDefault="00E011FB" w:rsidP="00F50C01">
            <w:pPr>
              <w:pStyle w:val="Table"/>
              <w:jc w:val="center"/>
              <w:rPr>
                <w:lang w:val="fr-FR"/>
              </w:rPr>
            </w:pPr>
            <w:r w:rsidRPr="00386309">
              <w:rPr>
                <w:lang w:val="fr-FR"/>
              </w:rPr>
              <w:t>202*</w:t>
            </w:r>
          </w:p>
        </w:tc>
        <w:tc>
          <w:tcPr>
            <w:tcW w:w="620" w:type="pct"/>
            <w:vAlign w:val="center"/>
          </w:tcPr>
          <w:p w14:paraId="124C448E" w14:textId="77777777" w:rsidR="00E011FB" w:rsidRPr="00386309" w:rsidRDefault="00E011FB" w:rsidP="00F50C01">
            <w:pPr>
              <w:pStyle w:val="Table"/>
              <w:jc w:val="center"/>
              <w:rPr>
                <w:lang w:val="fr-FR"/>
              </w:rPr>
            </w:pPr>
            <w:r w:rsidRPr="00386309">
              <w:rPr>
                <w:lang w:val="fr-FR"/>
              </w:rPr>
              <w:t>202*</w:t>
            </w:r>
          </w:p>
        </w:tc>
        <w:tc>
          <w:tcPr>
            <w:tcW w:w="620" w:type="pct"/>
            <w:vAlign w:val="center"/>
          </w:tcPr>
          <w:p w14:paraId="12EEC971" w14:textId="77777777" w:rsidR="00E011FB" w:rsidRPr="00386309" w:rsidRDefault="00E011FB" w:rsidP="00F50C01">
            <w:pPr>
              <w:pStyle w:val="Table"/>
              <w:jc w:val="center"/>
              <w:rPr>
                <w:lang w:val="fr-FR"/>
              </w:rPr>
            </w:pPr>
            <w:r w:rsidRPr="00386309">
              <w:rPr>
                <w:lang w:val="fr-FR"/>
              </w:rPr>
              <w:t>202*</w:t>
            </w:r>
          </w:p>
        </w:tc>
        <w:tc>
          <w:tcPr>
            <w:tcW w:w="620" w:type="pct"/>
            <w:vAlign w:val="center"/>
          </w:tcPr>
          <w:p w14:paraId="6DB29CF6" w14:textId="77777777" w:rsidR="00E011FB" w:rsidRPr="00386309" w:rsidRDefault="00E011FB" w:rsidP="00F50C01">
            <w:pPr>
              <w:pStyle w:val="Table"/>
              <w:jc w:val="center"/>
              <w:rPr>
                <w:lang w:val="fr-FR"/>
              </w:rPr>
            </w:pPr>
            <w:r w:rsidRPr="00386309">
              <w:rPr>
                <w:lang w:val="fr-FR"/>
              </w:rPr>
              <w:t>202*</w:t>
            </w:r>
          </w:p>
        </w:tc>
      </w:tr>
      <w:tr w:rsidR="00B5075A" w:rsidRPr="00386309" w14:paraId="3EF417A4" w14:textId="77777777" w:rsidTr="00941C6B">
        <w:tc>
          <w:tcPr>
            <w:tcW w:w="1275" w:type="pct"/>
          </w:tcPr>
          <w:p w14:paraId="40B96E5D" w14:textId="45F059EC" w:rsidR="00E011FB" w:rsidRPr="00386309" w:rsidRDefault="00E011FB" w:rsidP="00F50C01">
            <w:pPr>
              <w:pStyle w:val="Table"/>
              <w:spacing w:before="60" w:after="60"/>
              <w:rPr>
                <w:lang w:val="fr-FR"/>
              </w:rPr>
            </w:pPr>
            <w:r w:rsidRPr="00386309">
              <w:rPr>
                <w:lang w:val="fr-FR"/>
              </w:rPr>
              <w:t>C</w:t>
            </w:r>
            <w:r w:rsidR="00B5075A">
              <w:rPr>
                <w:lang w:val="fr-FR"/>
              </w:rPr>
              <w:t>rédit d’engagement</w:t>
            </w:r>
          </w:p>
        </w:tc>
        <w:tc>
          <w:tcPr>
            <w:tcW w:w="620" w:type="pct"/>
          </w:tcPr>
          <w:p w14:paraId="24CBAC98" w14:textId="77777777" w:rsidR="00E011FB" w:rsidRPr="00386309" w:rsidRDefault="00E011FB" w:rsidP="0097328D">
            <w:pPr>
              <w:pStyle w:val="Table"/>
              <w:spacing w:before="60" w:after="60"/>
              <w:rPr>
                <w:lang w:val="fr-FR"/>
              </w:rPr>
            </w:pPr>
          </w:p>
        </w:tc>
        <w:tc>
          <w:tcPr>
            <w:tcW w:w="622" w:type="pct"/>
          </w:tcPr>
          <w:p w14:paraId="34A90FA6" w14:textId="77777777" w:rsidR="00E011FB" w:rsidRPr="00386309" w:rsidRDefault="00E011FB" w:rsidP="0097328D">
            <w:pPr>
              <w:pStyle w:val="Table"/>
              <w:spacing w:before="60" w:after="60"/>
              <w:rPr>
                <w:lang w:val="fr-FR"/>
              </w:rPr>
            </w:pPr>
          </w:p>
        </w:tc>
        <w:tc>
          <w:tcPr>
            <w:tcW w:w="622" w:type="pct"/>
          </w:tcPr>
          <w:p w14:paraId="54CA1145" w14:textId="77777777" w:rsidR="00E011FB" w:rsidRPr="00386309" w:rsidRDefault="00E011FB" w:rsidP="0097328D">
            <w:pPr>
              <w:pStyle w:val="Table"/>
              <w:spacing w:before="60" w:after="60"/>
              <w:rPr>
                <w:lang w:val="fr-FR"/>
              </w:rPr>
            </w:pPr>
          </w:p>
        </w:tc>
        <w:tc>
          <w:tcPr>
            <w:tcW w:w="620" w:type="pct"/>
          </w:tcPr>
          <w:p w14:paraId="67056638" w14:textId="77777777" w:rsidR="00E011FB" w:rsidRPr="00386309" w:rsidRDefault="00E011FB" w:rsidP="0097328D">
            <w:pPr>
              <w:pStyle w:val="Table"/>
              <w:spacing w:before="60" w:after="60"/>
              <w:rPr>
                <w:lang w:val="fr-FR"/>
              </w:rPr>
            </w:pPr>
          </w:p>
        </w:tc>
        <w:tc>
          <w:tcPr>
            <w:tcW w:w="620" w:type="pct"/>
          </w:tcPr>
          <w:p w14:paraId="552F7099" w14:textId="77777777" w:rsidR="00E011FB" w:rsidRPr="00386309" w:rsidRDefault="00E011FB" w:rsidP="0097328D">
            <w:pPr>
              <w:pStyle w:val="Table"/>
              <w:spacing w:before="60" w:after="60"/>
              <w:rPr>
                <w:lang w:val="fr-FR"/>
              </w:rPr>
            </w:pPr>
          </w:p>
        </w:tc>
        <w:tc>
          <w:tcPr>
            <w:tcW w:w="620" w:type="pct"/>
          </w:tcPr>
          <w:p w14:paraId="17FF79E5" w14:textId="77777777" w:rsidR="00E011FB" w:rsidRPr="00386309" w:rsidRDefault="00E011FB" w:rsidP="0097328D">
            <w:pPr>
              <w:pStyle w:val="Table"/>
              <w:spacing w:before="60" w:after="60"/>
              <w:rPr>
                <w:lang w:val="fr-FR"/>
              </w:rPr>
            </w:pPr>
          </w:p>
        </w:tc>
      </w:tr>
      <w:tr w:rsidR="00B5075A" w:rsidRPr="00386309" w14:paraId="72BD2019" w14:textId="77777777" w:rsidTr="00941C6B">
        <w:tc>
          <w:tcPr>
            <w:tcW w:w="1275" w:type="pct"/>
          </w:tcPr>
          <w:p w14:paraId="353BB310" w14:textId="30B69DE2" w:rsidR="00E011FB" w:rsidRPr="00386309" w:rsidRDefault="00E011FB" w:rsidP="00F50C01">
            <w:pPr>
              <w:pStyle w:val="Table"/>
              <w:spacing w:before="60" w:after="60"/>
              <w:rPr>
                <w:lang w:val="fr-FR"/>
              </w:rPr>
            </w:pPr>
            <w:r w:rsidRPr="00386309">
              <w:rPr>
                <w:lang w:val="fr-FR"/>
              </w:rPr>
              <w:t>C</w:t>
            </w:r>
            <w:r w:rsidR="00B5075A">
              <w:rPr>
                <w:lang w:val="fr-FR"/>
              </w:rPr>
              <w:t>rédit de liquidation</w:t>
            </w:r>
          </w:p>
        </w:tc>
        <w:tc>
          <w:tcPr>
            <w:tcW w:w="620" w:type="pct"/>
          </w:tcPr>
          <w:p w14:paraId="4E514766" w14:textId="77777777" w:rsidR="00E011FB" w:rsidRPr="00386309" w:rsidRDefault="00E011FB" w:rsidP="0097328D">
            <w:pPr>
              <w:pStyle w:val="Table"/>
              <w:spacing w:before="60" w:after="60"/>
              <w:rPr>
                <w:lang w:val="fr-FR"/>
              </w:rPr>
            </w:pPr>
          </w:p>
        </w:tc>
        <w:tc>
          <w:tcPr>
            <w:tcW w:w="622" w:type="pct"/>
          </w:tcPr>
          <w:p w14:paraId="1F2D050D" w14:textId="77777777" w:rsidR="00E011FB" w:rsidRPr="00386309" w:rsidRDefault="00E011FB" w:rsidP="0097328D">
            <w:pPr>
              <w:pStyle w:val="Table"/>
              <w:spacing w:before="60" w:after="60"/>
              <w:rPr>
                <w:lang w:val="fr-FR"/>
              </w:rPr>
            </w:pPr>
          </w:p>
        </w:tc>
        <w:tc>
          <w:tcPr>
            <w:tcW w:w="622" w:type="pct"/>
          </w:tcPr>
          <w:p w14:paraId="1D2773E7" w14:textId="77777777" w:rsidR="00E011FB" w:rsidRPr="00386309" w:rsidRDefault="00E011FB" w:rsidP="0097328D">
            <w:pPr>
              <w:pStyle w:val="Table"/>
              <w:spacing w:before="60" w:after="60"/>
              <w:rPr>
                <w:lang w:val="fr-FR"/>
              </w:rPr>
            </w:pPr>
          </w:p>
        </w:tc>
        <w:tc>
          <w:tcPr>
            <w:tcW w:w="620" w:type="pct"/>
          </w:tcPr>
          <w:p w14:paraId="0D9636E5" w14:textId="77777777" w:rsidR="00E011FB" w:rsidRPr="00386309" w:rsidRDefault="00E011FB" w:rsidP="0097328D">
            <w:pPr>
              <w:pStyle w:val="Table"/>
              <w:spacing w:before="60" w:after="60"/>
              <w:rPr>
                <w:lang w:val="fr-FR"/>
              </w:rPr>
            </w:pPr>
          </w:p>
        </w:tc>
        <w:tc>
          <w:tcPr>
            <w:tcW w:w="620" w:type="pct"/>
          </w:tcPr>
          <w:p w14:paraId="56C497BA" w14:textId="77777777" w:rsidR="00E011FB" w:rsidRPr="00386309" w:rsidRDefault="00E011FB" w:rsidP="0097328D">
            <w:pPr>
              <w:pStyle w:val="Table"/>
              <w:spacing w:before="60" w:after="60"/>
              <w:rPr>
                <w:lang w:val="fr-FR"/>
              </w:rPr>
            </w:pPr>
          </w:p>
        </w:tc>
        <w:tc>
          <w:tcPr>
            <w:tcW w:w="620" w:type="pct"/>
          </w:tcPr>
          <w:p w14:paraId="4EFD9EAD" w14:textId="77777777" w:rsidR="00E011FB" w:rsidRPr="00386309" w:rsidRDefault="00E011FB" w:rsidP="0097328D">
            <w:pPr>
              <w:pStyle w:val="Table"/>
              <w:spacing w:before="60" w:after="60"/>
              <w:rPr>
                <w:lang w:val="fr-FR"/>
              </w:rPr>
            </w:pPr>
          </w:p>
        </w:tc>
      </w:tr>
    </w:tbl>
    <w:p w14:paraId="4476486E" w14:textId="20A6EE5D" w:rsidR="00E011FB" w:rsidRPr="00386309" w:rsidRDefault="00E011FB" w:rsidP="00E011FB">
      <w:pPr>
        <w:pStyle w:val="Titre3"/>
        <w:numPr>
          <w:ilvl w:val="0"/>
          <w:numId w:val="0"/>
        </w:numPr>
        <w:rPr>
          <w:rFonts w:asciiTheme="majorHAnsi" w:hAnsiTheme="majorHAnsi" w:cstheme="majorHAnsi"/>
          <w:lang w:val="fr-FR"/>
        </w:rPr>
      </w:pPr>
      <w:r w:rsidRPr="00386309">
        <w:rPr>
          <w:rFonts w:asciiTheme="majorHAnsi" w:hAnsiTheme="majorHAnsi" w:cstheme="majorHAnsi"/>
          <w:b/>
          <w:bCs/>
          <w:lang w:val="fr-FR"/>
        </w:rPr>
        <w:t>Article 3</w:t>
      </w:r>
      <w:r w:rsidR="00B5075A" w:rsidRPr="00B5075A">
        <w:t xml:space="preserve"> – </w:t>
      </w:r>
      <w:r w:rsidRPr="00E011FB">
        <w:rPr>
          <w:lang w:val="fr"/>
        </w:rPr>
        <w:t>Mise</w:t>
      </w:r>
      <w:r w:rsidRPr="00B5075A">
        <w:rPr>
          <w:lang w:val="fr"/>
        </w:rPr>
        <w:t xml:space="preserve"> en œuvre</w:t>
      </w:r>
      <w:r w:rsidRPr="00386309">
        <w:rPr>
          <w:rFonts w:asciiTheme="majorHAnsi" w:hAnsiTheme="majorHAnsi" w:cstheme="majorHAnsi"/>
          <w:lang w:val="fr-FR"/>
        </w:rPr>
        <w:t xml:space="preserve"> </w:t>
      </w:r>
    </w:p>
    <w:p w14:paraId="08C585BF" w14:textId="77777777" w:rsidR="00E011FB" w:rsidRPr="00386309" w:rsidRDefault="00E011FB" w:rsidP="00E011FB">
      <w:pPr>
        <w:rPr>
          <w:lang w:val="fr-FR"/>
        </w:rPr>
      </w:pPr>
      <w:r w:rsidRPr="00386309">
        <w:rPr>
          <w:lang w:val="fr-FR"/>
        </w:rPr>
        <w:t>§ 1. La subvention est destinée exclusivement à la réalisation du projet. Elle ne peut en aucun cas être utilisée pour financer d’autres activités ou év</w:t>
      </w:r>
      <w:r>
        <w:rPr>
          <w:lang w:val="fr-FR"/>
        </w:rPr>
        <w:t>è</w:t>
      </w:r>
      <w:r w:rsidRPr="00386309">
        <w:rPr>
          <w:lang w:val="fr-FR"/>
        </w:rPr>
        <w:t>nements.</w:t>
      </w:r>
    </w:p>
    <w:p w14:paraId="0CDF843F" w14:textId="1D28000A" w:rsidR="00E011FB" w:rsidRPr="00386309" w:rsidRDefault="00E011FB" w:rsidP="00E011FB">
      <w:pPr>
        <w:rPr>
          <w:lang w:val="fr-FR"/>
        </w:rPr>
      </w:pPr>
      <w:r w:rsidRPr="00386309">
        <w:rPr>
          <w:lang w:val="fr-FR"/>
        </w:rPr>
        <w:t xml:space="preserve">§ 2. Les </w:t>
      </w:r>
      <w:r>
        <w:rPr>
          <w:lang w:val="fr-FR"/>
        </w:rPr>
        <w:t>actions</w:t>
      </w:r>
      <w:r w:rsidRPr="00386309">
        <w:rPr>
          <w:lang w:val="fr-FR"/>
        </w:rPr>
        <w:t xml:space="preserve"> qui sont subventionnées et prévues dans le cadre du projet doivent être effectuées et seront limitées à la période se terminant le 31 décembre de chaque année jusqu’au </w:t>
      </w:r>
      <w:r w:rsidRPr="00386309">
        <w:rPr>
          <w:highlight w:val="yellow"/>
          <w:lang w:val="fr-FR"/>
        </w:rPr>
        <w:t>31</w:t>
      </w:r>
      <w:r w:rsidR="00B5075A">
        <w:rPr>
          <w:highlight w:val="yellow"/>
          <w:lang w:val="fr-FR"/>
        </w:rPr>
        <w:t>.</w:t>
      </w:r>
      <w:r w:rsidRPr="00386309">
        <w:rPr>
          <w:highlight w:val="yellow"/>
          <w:lang w:val="fr-FR"/>
        </w:rPr>
        <w:t>12</w:t>
      </w:r>
      <w:r w:rsidR="00B5075A">
        <w:rPr>
          <w:highlight w:val="yellow"/>
          <w:lang w:val="fr-FR"/>
        </w:rPr>
        <w:t>.</w:t>
      </w:r>
      <w:r w:rsidRPr="00386309">
        <w:rPr>
          <w:highlight w:val="yellow"/>
          <w:lang w:val="fr-FR"/>
        </w:rPr>
        <w:t>202*</w:t>
      </w:r>
      <w:r w:rsidRPr="00386309">
        <w:rPr>
          <w:lang w:val="fr-FR"/>
        </w:rPr>
        <w:t>.</w:t>
      </w:r>
    </w:p>
    <w:p w14:paraId="55E6AB2C" w14:textId="094B853C" w:rsidR="00E011FB" w:rsidRPr="00386309" w:rsidRDefault="00E011FB" w:rsidP="00E011FB">
      <w:pPr>
        <w:rPr>
          <w:rFonts w:eastAsia="Times New Roman"/>
          <w:lang w:val="fr-FR" w:eastAsia="fr-BE"/>
        </w:rPr>
      </w:pPr>
      <w:r w:rsidRPr="00386309">
        <w:rPr>
          <w:rFonts w:eastAsia="Times New Roman"/>
          <w:lang w:val="fr-FR" w:eastAsia="fr-BE"/>
        </w:rPr>
        <w:t xml:space="preserve">§3. Pour le suivi des </w:t>
      </w:r>
      <w:r>
        <w:rPr>
          <w:rFonts w:eastAsia="Times New Roman"/>
          <w:lang w:val="fr-FR" w:eastAsia="fr-BE"/>
        </w:rPr>
        <w:t>actions</w:t>
      </w:r>
      <w:r w:rsidR="00B5075A">
        <w:rPr>
          <w:rFonts w:eastAsia="Times New Roman"/>
          <w:lang w:val="fr-FR" w:eastAsia="fr-BE"/>
        </w:rPr>
        <w:t>,</w:t>
      </w:r>
      <w:r w:rsidRPr="00386309">
        <w:rPr>
          <w:rFonts w:eastAsia="Times New Roman"/>
          <w:lang w:val="fr-FR" w:eastAsia="fr-BE"/>
        </w:rPr>
        <w:t xml:space="preserve"> les parties mettent en place une gouvernance de projet avec un suivi régulier déterminé de la façon suivante </w:t>
      </w:r>
      <w:r w:rsidRPr="00386309">
        <w:rPr>
          <w:rFonts w:eastAsia="Times New Roman"/>
          <w:highlight w:val="yellow"/>
          <w:lang w:val="fr-FR" w:eastAsia="fr-BE"/>
        </w:rPr>
        <w:t>*****</w:t>
      </w:r>
      <w:r w:rsidRPr="00386309">
        <w:rPr>
          <w:rFonts w:eastAsia="Times New Roman"/>
          <w:lang w:val="fr-FR" w:eastAsia="fr-BE"/>
        </w:rPr>
        <w:t>.</w:t>
      </w:r>
    </w:p>
    <w:p w14:paraId="571E33C6" w14:textId="4F1DD9D4" w:rsidR="00E011FB" w:rsidRPr="00B5075A" w:rsidRDefault="00E011FB" w:rsidP="00B5075A">
      <w:pPr>
        <w:pStyle w:val="Titre3"/>
        <w:numPr>
          <w:ilvl w:val="0"/>
          <w:numId w:val="0"/>
        </w:numPr>
      </w:pPr>
      <w:r w:rsidRPr="00B5075A">
        <w:t>Article 4 – Règlement de la subvention</w:t>
      </w:r>
    </w:p>
    <w:p w14:paraId="7666330D" w14:textId="3064A948" w:rsidR="00E011FB" w:rsidRPr="00386309" w:rsidRDefault="00E011FB" w:rsidP="00E011FB">
      <w:pPr>
        <w:rPr>
          <w:lang w:val="fr-FR" w:eastAsia="fr-BE"/>
        </w:rPr>
      </w:pPr>
      <w:r w:rsidRPr="00013B04">
        <w:rPr>
          <w:lang w:val="fr-FR" w:eastAsia="fr-BE"/>
        </w:rPr>
        <w:t>§ 1. Une première tranche de la subvention équivalente à 30</w:t>
      </w:r>
      <w:r w:rsidR="00B5075A">
        <w:rPr>
          <w:lang w:val="fr-FR" w:eastAsia="fr-BE"/>
        </w:rPr>
        <w:t> </w:t>
      </w:r>
      <w:r w:rsidRPr="00013B04">
        <w:rPr>
          <w:lang w:val="fr-FR" w:eastAsia="fr-BE"/>
        </w:rPr>
        <w:t>% du montant annuel sera versé</w:t>
      </w:r>
      <w:r w:rsidR="00B5075A">
        <w:rPr>
          <w:lang w:val="fr-FR" w:eastAsia="fr-BE"/>
        </w:rPr>
        <w:t>e</w:t>
      </w:r>
      <w:r w:rsidRPr="00013B04">
        <w:rPr>
          <w:lang w:val="fr-FR" w:eastAsia="fr-BE"/>
        </w:rPr>
        <w:t xml:space="preserve"> sur présentation d’une déclaration de créance. </w:t>
      </w:r>
    </w:p>
    <w:p w14:paraId="1FED9992" w14:textId="77777777" w:rsidR="00E011FB" w:rsidRPr="00386309" w:rsidRDefault="00E011FB" w:rsidP="00E011FB">
      <w:pPr>
        <w:rPr>
          <w:lang w:val="fr-FR" w:eastAsia="fr-BE"/>
        </w:rPr>
      </w:pPr>
      <w:r w:rsidRPr="00386309">
        <w:rPr>
          <w:lang w:val="fr-FR" w:eastAsia="fr-BE"/>
        </w:rPr>
        <w:t xml:space="preserve">§ </w:t>
      </w:r>
      <w:r>
        <w:rPr>
          <w:lang w:val="fr-FR" w:eastAsia="fr-BE"/>
        </w:rPr>
        <w:t>2</w:t>
      </w:r>
      <w:r w:rsidRPr="00386309">
        <w:rPr>
          <w:lang w:val="fr-FR" w:eastAsia="fr-BE"/>
        </w:rPr>
        <w:t xml:space="preserve">. Pour chacune des tranches suivantes, le demandeur soumettra une déclaration de créance accompagnée des justificatifs attestant la matérialité de la charge et la réalisation des </w:t>
      </w:r>
      <w:r>
        <w:rPr>
          <w:lang w:val="fr-FR" w:eastAsia="fr-BE"/>
        </w:rPr>
        <w:t>actions</w:t>
      </w:r>
      <w:r w:rsidRPr="00386309">
        <w:rPr>
          <w:lang w:val="fr-FR" w:eastAsia="fr-BE"/>
        </w:rPr>
        <w:t xml:space="preserve"> tel</w:t>
      </w:r>
      <w:r>
        <w:rPr>
          <w:lang w:val="fr-FR" w:eastAsia="fr-BE"/>
        </w:rPr>
        <w:t>le</w:t>
      </w:r>
      <w:r w:rsidRPr="00386309">
        <w:rPr>
          <w:lang w:val="fr-FR" w:eastAsia="fr-BE"/>
        </w:rPr>
        <w:t>s que fixé</w:t>
      </w:r>
      <w:r>
        <w:rPr>
          <w:lang w:val="fr-FR" w:eastAsia="fr-BE"/>
        </w:rPr>
        <w:t>e</w:t>
      </w:r>
      <w:r w:rsidRPr="00386309">
        <w:rPr>
          <w:lang w:val="fr-FR" w:eastAsia="fr-BE"/>
        </w:rPr>
        <w:t>s par le plan de projet. Chaque demande de liquidation doit reprendre un tableau récapitulatif des montants perçus et dépensés.</w:t>
      </w:r>
    </w:p>
    <w:p w14:paraId="3F327033" w14:textId="77777777" w:rsidR="00E011FB" w:rsidRPr="00386309" w:rsidRDefault="00E011FB" w:rsidP="00E011FB">
      <w:pPr>
        <w:rPr>
          <w:lang w:val="fr-FR" w:eastAsia="fr-BE"/>
        </w:rPr>
      </w:pPr>
      <w:r w:rsidRPr="00386309">
        <w:rPr>
          <w:lang w:val="fr-FR" w:eastAsia="fr-BE"/>
        </w:rPr>
        <w:t xml:space="preserve">§ </w:t>
      </w:r>
      <w:r>
        <w:rPr>
          <w:lang w:val="fr-FR" w:eastAsia="fr-BE"/>
        </w:rPr>
        <w:t>3</w:t>
      </w:r>
      <w:r w:rsidRPr="00386309">
        <w:rPr>
          <w:lang w:val="fr-FR" w:eastAsia="fr-BE"/>
        </w:rPr>
        <w:t xml:space="preserve">. La demande de liquidation doit être introduite </w:t>
      </w:r>
      <w:r w:rsidRPr="00386309">
        <w:rPr>
          <w:highlight w:val="yellow"/>
          <w:lang w:val="fr-FR" w:eastAsia="fr-BE"/>
        </w:rPr>
        <w:t>[décrire les délais, conditions et processus]</w:t>
      </w:r>
      <w:r w:rsidRPr="00386309">
        <w:rPr>
          <w:lang w:val="fr-FR" w:eastAsia="fr-BE"/>
        </w:rPr>
        <w:t xml:space="preserve"> </w:t>
      </w:r>
    </w:p>
    <w:p w14:paraId="26F7BED3" w14:textId="22963150" w:rsidR="00E011FB" w:rsidRPr="00386309" w:rsidRDefault="00E011FB" w:rsidP="00E011FB">
      <w:pPr>
        <w:rPr>
          <w:lang w:val="fr-FR" w:eastAsia="fr-BE"/>
        </w:rPr>
      </w:pPr>
      <w:r w:rsidRPr="00386309">
        <w:rPr>
          <w:lang w:val="fr-FR" w:eastAsia="fr-BE"/>
        </w:rPr>
        <w:t xml:space="preserve">§ </w:t>
      </w:r>
      <w:r>
        <w:rPr>
          <w:lang w:val="fr-FR" w:eastAsia="fr-BE"/>
        </w:rPr>
        <w:t>4</w:t>
      </w:r>
      <w:r w:rsidRPr="00386309">
        <w:rPr>
          <w:lang w:val="fr-FR" w:eastAsia="fr-BE"/>
        </w:rPr>
        <w:t>.</w:t>
      </w:r>
      <w:r>
        <w:rPr>
          <w:lang w:val="fr-FR" w:eastAsia="fr-BE"/>
        </w:rPr>
        <w:t xml:space="preserve"> </w:t>
      </w:r>
      <w:r w:rsidRPr="00386309">
        <w:rPr>
          <w:lang w:val="fr-FR" w:eastAsia="fr-BE"/>
        </w:rPr>
        <w:t xml:space="preserve">La dernière demande de liquidation concernant les dépenses de l’année civile doit être introduite au plus tard le </w:t>
      </w:r>
      <w:r>
        <w:rPr>
          <w:lang w:val="fr-FR" w:eastAsia="fr-BE"/>
        </w:rPr>
        <w:t>[</w:t>
      </w:r>
      <w:r>
        <w:rPr>
          <w:highlight w:val="yellow"/>
          <w:lang w:val="fr-FR" w:eastAsia="fr-BE"/>
        </w:rPr>
        <w:t>XX</w:t>
      </w:r>
      <w:r w:rsidRPr="00386309">
        <w:rPr>
          <w:highlight w:val="yellow"/>
          <w:lang w:val="fr-FR" w:eastAsia="fr-BE"/>
        </w:rPr>
        <w:t xml:space="preserve"> janvier</w:t>
      </w:r>
      <w:r>
        <w:rPr>
          <w:highlight w:val="yellow"/>
          <w:lang w:val="fr-FR" w:eastAsia="fr-BE"/>
        </w:rPr>
        <w:t>]</w:t>
      </w:r>
      <w:r w:rsidRPr="00386309">
        <w:rPr>
          <w:highlight w:val="yellow"/>
          <w:lang w:val="fr-FR" w:eastAsia="fr-BE"/>
        </w:rPr>
        <w:t xml:space="preserve"> </w:t>
      </w:r>
      <w:r w:rsidRPr="00013B04">
        <w:rPr>
          <w:lang w:val="fr-FR" w:eastAsia="fr-BE"/>
        </w:rPr>
        <w:t>de chaque année afin que la dépense puisse être</w:t>
      </w:r>
      <w:r w:rsidRPr="00386309">
        <w:rPr>
          <w:lang w:val="fr-FR" w:eastAsia="fr-BE"/>
        </w:rPr>
        <w:t xml:space="preserve"> inscrite sur les crédits budgétaires correspondants à chaque exercice avant le 1</w:t>
      </w:r>
      <w:r w:rsidRPr="00386309">
        <w:rPr>
          <w:vertAlign w:val="superscript"/>
          <w:lang w:val="fr-FR" w:eastAsia="fr-BE"/>
        </w:rPr>
        <w:t>er</w:t>
      </w:r>
      <w:r w:rsidRPr="00386309">
        <w:rPr>
          <w:lang w:val="fr-FR" w:eastAsia="fr-BE"/>
        </w:rPr>
        <w:t xml:space="preserve"> février conformément aux dispositions légales reprises dans la loi du 22 mai 2003 portant organisation du budget et de la comptabilité de l’</w:t>
      </w:r>
      <w:r w:rsidR="00B5075A">
        <w:rPr>
          <w:lang w:val="fr-FR" w:eastAsia="fr-BE"/>
        </w:rPr>
        <w:t>É</w:t>
      </w:r>
      <w:r w:rsidRPr="00386309">
        <w:rPr>
          <w:lang w:val="fr-FR" w:eastAsia="fr-BE"/>
        </w:rPr>
        <w:t xml:space="preserve">tat. </w:t>
      </w:r>
    </w:p>
    <w:p w14:paraId="54E1A4F4" w14:textId="76EE8DF2" w:rsidR="00E011FB" w:rsidRPr="00386309" w:rsidRDefault="00E011FB" w:rsidP="00E011FB">
      <w:pPr>
        <w:rPr>
          <w:lang w:val="fr-FR" w:eastAsia="fr-BE"/>
        </w:rPr>
      </w:pPr>
      <w:r w:rsidRPr="00386309">
        <w:rPr>
          <w:lang w:val="fr-FR" w:eastAsia="fr-BE"/>
        </w:rPr>
        <w:t xml:space="preserve">§ </w:t>
      </w:r>
      <w:r>
        <w:rPr>
          <w:lang w:val="fr-FR" w:eastAsia="fr-BE"/>
        </w:rPr>
        <w:t>5</w:t>
      </w:r>
      <w:r w:rsidRPr="00386309">
        <w:rPr>
          <w:lang w:val="fr-FR" w:eastAsia="fr-BE"/>
        </w:rPr>
        <w:t xml:space="preserve">. </w:t>
      </w:r>
      <w:r w:rsidR="00B5075A">
        <w:rPr>
          <w:lang w:val="fr-FR" w:eastAsia="fr-BE"/>
        </w:rPr>
        <w:t xml:space="preserve">Sont </w:t>
      </w:r>
      <w:r w:rsidRPr="00386309">
        <w:rPr>
          <w:lang w:val="fr-FR" w:eastAsia="fr-BE"/>
        </w:rPr>
        <w:t>joint</w:t>
      </w:r>
      <w:r w:rsidR="00B5075A">
        <w:rPr>
          <w:lang w:val="fr-FR" w:eastAsia="fr-BE"/>
        </w:rPr>
        <w:t>s</w:t>
      </w:r>
      <w:r w:rsidRPr="00386309">
        <w:rPr>
          <w:lang w:val="fr-FR" w:eastAsia="fr-BE"/>
        </w:rPr>
        <w:t xml:space="preserve"> à la dernière demande de paiement de l’année : </w:t>
      </w:r>
    </w:p>
    <w:p w14:paraId="6C344203" w14:textId="7BF6965A" w:rsidR="00E011FB" w:rsidRPr="00386309" w:rsidRDefault="00B5075A" w:rsidP="008014E5">
      <w:pPr>
        <w:pStyle w:val="Bullet1"/>
        <w:rPr>
          <w:lang w:eastAsia="fr-BE"/>
        </w:rPr>
      </w:pPr>
      <w:r>
        <w:rPr>
          <w:lang w:eastAsia="fr-BE"/>
        </w:rPr>
        <w:t>U</w:t>
      </w:r>
      <w:r w:rsidR="00E011FB" w:rsidRPr="00386309">
        <w:rPr>
          <w:lang w:eastAsia="fr-BE"/>
        </w:rPr>
        <w:t>n tableau récapitulatif des factures acceptées et des preuves de paiement contenant</w:t>
      </w:r>
      <w:r>
        <w:rPr>
          <w:lang w:eastAsia="fr-BE"/>
        </w:rPr>
        <w:t> </w:t>
      </w:r>
      <w:r w:rsidR="00E011FB" w:rsidRPr="00386309">
        <w:rPr>
          <w:lang w:eastAsia="fr-BE"/>
        </w:rPr>
        <w:t xml:space="preserve">: </w:t>
      </w:r>
    </w:p>
    <w:p w14:paraId="2BD565CD" w14:textId="2DA9FA10" w:rsidR="00E011FB" w:rsidRPr="00386309" w:rsidRDefault="00B5075A" w:rsidP="008014E5">
      <w:pPr>
        <w:pStyle w:val="Bullet2"/>
        <w:ind w:left="567" w:hanging="283"/>
        <w:rPr>
          <w:lang w:eastAsia="fr-BE"/>
        </w:rPr>
      </w:pPr>
      <w:r>
        <w:rPr>
          <w:lang w:eastAsia="fr-BE"/>
        </w:rPr>
        <w:t>l</w:t>
      </w:r>
      <w:r w:rsidR="00E011FB" w:rsidRPr="00386309">
        <w:rPr>
          <w:lang w:eastAsia="fr-BE"/>
        </w:rPr>
        <w:t xml:space="preserve">a référence du </w:t>
      </w:r>
      <w:r w:rsidR="00E011FB" w:rsidRPr="008014E5">
        <w:t>projet</w:t>
      </w:r>
      <w:r w:rsidR="00E011FB" w:rsidRPr="00386309">
        <w:rPr>
          <w:lang w:eastAsia="fr-BE"/>
        </w:rPr>
        <w:t xml:space="preserve"> </w:t>
      </w:r>
      <w:r w:rsidR="00E011FB" w:rsidRPr="00386309">
        <w:rPr>
          <w:highlight w:val="yellow"/>
          <w:lang w:eastAsia="fr-BE"/>
        </w:rPr>
        <w:t>IXXXXX/BE-C[CXX]-I ou R[I ou R-XXX.XX]</w:t>
      </w:r>
      <w:r>
        <w:rPr>
          <w:highlight w:val="yellow"/>
          <w:lang w:eastAsia="fr-BE"/>
        </w:rPr>
        <w:t>,</w:t>
      </w:r>
    </w:p>
    <w:p w14:paraId="34AF34ED" w14:textId="6CEB1279" w:rsidR="00E011FB" w:rsidRPr="008014E5" w:rsidRDefault="00B5075A" w:rsidP="008014E5">
      <w:pPr>
        <w:pStyle w:val="Bullet2"/>
        <w:ind w:left="567" w:hanging="283"/>
        <w:rPr>
          <w:lang w:eastAsia="fr-BE"/>
        </w:rPr>
      </w:pPr>
      <w:r>
        <w:rPr>
          <w:lang w:eastAsia="fr-BE"/>
        </w:rPr>
        <w:t>l</w:t>
      </w:r>
      <w:r w:rsidR="00E011FB" w:rsidRPr="008014E5">
        <w:rPr>
          <w:lang w:eastAsia="fr-BE"/>
        </w:rPr>
        <w:t xml:space="preserve">es caractéristiques du paiement effectué (numéro de relevé de compte bancaire ou livre de caisse), </w:t>
      </w:r>
    </w:p>
    <w:p w14:paraId="408E3E91" w14:textId="120D40DF" w:rsidR="00E011FB" w:rsidRPr="008014E5" w:rsidRDefault="00B5075A" w:rsidP="008014E5">
      <w:pPr>
        <w:pStyle w:val="Bullet2"/>
        <w:ind w:left="567" w:hanging="283"/>
        <w:rPr>
          <w:lang w:eastAsia="fr-BE"/>
        </w:rPr>
      </w:pPr>
      <w:r>
        <w:rPr>
          <w:lang w:eastAsia="fr-BE"/>
        </w:rPr>
        <w:t>l</w:t>
      </w:r>
      <w:r w:rsidR="00E011FB" w:rsidRPr="008014E5">
        <w:rPr>
          <w:lang w:eastAsia="fr-BE"/>
        </w:rPr>
        <w:t>e cas échéant, la clé de répartition appliquée qui détermine quelle partie de la facture ou de la preuve de paiement fait l’objet d’un subventionnement européen</w:t>
      </w:r>
      <w:r>
        <w:rPr>
          <w:lang w:eastAsia="fr-BE"/>
        </w:rPr>
        <w:t>,</w:t>
      </w:r>
      <w:r w:rsidR="00E011FB" w:rsidRPr="008014E5">
        <w:rPr>
          <w:lang w:eastAsia="fr-BE"/>
        </w:rPr>
        <w:t xml:space="preserve"> </w:t>
      </w:r>
    </w:p>
    <w:p w14:paraId="2C030BAE" w14:textId="217E5DF7" w:rsidR="00E011FB" w:rsidRPr="008014E5" w:rsidRDefault="00B5075A" w:rsidP="008014E5">
      <w:pPr>
        <w:pStyle w:val="Bullet2"/>
        <w:ind w:left="567" w:hanging="283"/>
        <w:rPr>
          <w:lang w:eastAsia="fr-BE"/>
        </w:rPr>
      </w:pPr>
      <w:r>
        <w:rPr>
          <w:lang w:eastAsia="fr-BE"/>
        </w:rPr>
        <w:t>p</w:t>
      </w:r>
      <w:r w:rsidR="00E011FB" w:rsidRPr="008014E5">
        <w:rPr>
          <w:lang w:eastAsia="fr-BE"/>
        </w:rPr>
        <w:t>our la partie subventionnée, le lien vers la référence spécifique liée au marquage vert et la référence du projet (</w:t>
      </w:r>
      <w:r w:rsidR="00E011FB" w:rsidRPr="00941C6B">
        <w:rPr>
          <w:highlight w:val="yellow"/>
          <w:lang w:eastAsia="fr-BE"/>
        </w:rPr>
        <w:t>IXXXXX/BE-C[CXX]-I ou R[I ou R-XXX.XX]</w:t>
      </w:r>
      <w:r w:rsidR="00E011FB" w:rsidRPr="008014E5">
        <w:rPr>
          <w:lang w:eastAsia="fr-BE"/>
        </w:rPr>
        <w:t xml:space="preserve">). </w:t>
      </w:r>
    </w:p>
    <w:p w14:paraId="1CB9D808" w14:textId="11820D9B" w:rsidR="00E011FB" w:rsidRPr="00386309" w:rsidRDefault="00E011FB" w:rsidP="008014E5">
      <w:pPr>
        <w:pStyle w:val="Bullet1"/>
        <w:rPr>
          <w:lang w:eastAsia="fr-BE"/>
        </w:rPr>
      </w:pPr>
      <w:r w:rsidRPr="00386309">
        <w:rPr>
          <w:lang w:eastAsia="fr-BE"/>
        </w:rPr>
        <w:t xml:space="preserve">Tous les documents comptables justifiant le tableau ci-dessus. Tous ces documents, qui peuvent également être transmis sous </w:t>
      </w:r>
      <w:r w:rsidR="00B261B1">
        <w:rPr>
          <w:lang w:eastAsia="fr-BE"/>
        </w:rPr>
        <w:t xml:space="preserve">la </w:t>
      </w:r>
      <w:r w:rsidRPr="00386309">
        <w:rPr>
          <w:lang w:eastAsia="fr-BE"/>
        </w:rPr>
        <w:t xml:space="preserve">forme de copies clairement lisibles, doivent être </w:t>
      </w:r>
      <w:r w:rsidRPr="00386309">
        <w:rPr>
          <w:lang w:eastAsia="fr-BE"/>
        </w:rPr>
        <w:lastRenderedPageBreak/>
        <w:t xml:space="preserve">numérotés afin d’être facilement associés aux détails du tableau susmentionné. La numérotation doit impérativement reprendre la référence du projet et </w:t>
      </w:r>
      <w:r>
        <w:rPr>
          <w:lang w:eastAsia="fr-BE"/>
        </w:rPr>
        <w:t>des actions</w:t>
      </w:r>
      <w:r w:rsidRPr="00386309">
        <w:rPr>
          <w:lang w:eastAsia="fr-BE"/>
        </w:rPr>
        <w:t xml:space="preserve">. Le demandeur s’engage à conserver les originaux pendant les périodes prévues par la loi et à les mettre à disposition à la demande de l’administration. </w:t>
      </w:r>
    </w:p>
    <w:p w14:paraId="43405789" w14:textId="77777777" w:rsidR="00E011FB" w:rsidRPr="00386309" w:rsidRDefault="00E011FB" w:rsidP="008014E5">
      <w:pPr>
        <w:rPr>
          <w:lang w:val="fr-FR" w:eastAsia="fr-BE"/>
        </w:rPr>
      </w:pPr>
      <w:r w:rsidRPr="00386309">
        <w:rPr>
          <w:lang w:val="fr-FR" w:eastAsia="fr-BE"/>
        </w:rPr>
        <w:t xml:space="preserve">§ </w:t>
      </w:r>
      <w:r>
        <w:rPr>
          <w:lang w:val="fr-FR" w:eastAsia="fr-BE"/>
        </w:rPr>
        <w:t>6</w:t>
      </w:r>
      <w:r w:rsidRPr="00386309">
        <w:rPr>
          <w:lang w:val="fr-FR" w:eastAsia="fr-BE"/>
        </w:rPr>
        <w:t>. Les informations personnelles (par exemple, listes de présence, conseillers ou preneurs de contacts, etc.) sont elles-mêmes conservées par le demandeur et tenues à la disposition des autorités administratives et/ou des organismes de contrôle. La conservation des données personnelles se fait conformément au règlement général sur la protection des données.</w:t>
      </w:r>
    </w:p>
    <w:p w14:paraId="2809EFF7" w14:textId="77777777" w:rsidR="00E011FB" w:rsidRPr="00386309" w:rsidRDefault="00E011FB" w:rsidP="008014E5">
      <w:pPr>
        <w:rPr>
          <w:lang w:val="fr-FR" w:eastAsia="fr-BE"/>
        </w:rPr>
      </w:pPr>
      <w:r w:rsidRPr="00386309">
        <w:rPr>
          <w:lang w:val="fr-FR" w:eastAsia="fr-BE"/>
        </w:rPr>
        <w:t xml:space="preserve">§ </w:t>
      </w:r>
      <w:r>
        <w:rPr>
          <w:lang w:val="fr-FR" w:eastAsia="fr-BE"/>
        </w:rPr>
        <w:t>7</w:t>
      </w:r>
      <w:r w:rsidRPr="00386309">
        <w:rPr>
          <w:lang w:val="fr-FR" w:eastAsia="fr-BE"/>
        </w:rPr>
        <w:t xml:space="preserve">. Conformément à l’arrêté royal prévu chaque année, les liquidations ne peuvent avoir lieu que sur les crédits de ladite année et la réclamation ne peut porter que sur l’année considérée. Après le 31 janvier de chaque année, les montants qui n’ont pas été valablement réclamés et/ou acceptés seront considérés d’office comme non dus et non récupérables à charge des crédits de l’année, à condition que l’État ne puisse être accusé d’aucune erreur ou retard à cet égard. </w:t>
      </w:r>
    </w:p>
    <w:p w14:paraId="33B3A493" w14:textId="07E793FE" w:rsidR="00E011FB" w:rsidRPr="00386309" w:rsidRDefault="00E011FB" w:rsidP="008014E5">
      <w:pPr>
        <w:rPr>
          <w:lang w:val="fr-FR" w:eastAsia="fr-BE"/>
        </w:rPr>
      </w:pPr>
      <w:r w:rsidRPr="00386309">
        <w:rPr>
          <w:lang w:val="fr-FR" w:eastAsia="fr-BE"/>
        </w:rPr>
        <w:t xml:space="preserve">§ </w:t>
      </w:r>
      <w:r>
        <w:rPr>
          <w:lang w:val="fr-FR" w:eastAsia="fr-BE"/>
        </w:rPr>
        <w:t>8</w:t>
      </w:r>
      <w:r w:rsidRPr="00386309">
        <w:rPr>
          <w:lang w:val="fr-FR" w:eastAsia="fr-BE"/>
        </w:rPr>
        <w:t xml:space="preserve">. La conformité et, sauf justification suffisante et acceptable, la pleine réalisation des </w:t>
      </w:r>
      <w:r>
        <w:rPr>
          <w:lang w:val="fr-FR" w:eastAsia="fr-BE"/>
        </w:rPr>
        <w:t>actions et de</w:t>
      </w:r>
      <w:r w:rsidRPr="00386309">
        <w:rPr>
          <w:lang w:val="fr-FR" w:eastAsia="fr-BE"/>
        </w:rPr>
        <w:t xml:space="preserve"> l’obligation de résultat, est une obligation et une condition pour l’octroi de </w:t>
      </w:r>
      <w:r>
        <w:rPr>
          <w:lang w:val="fr-FR" w:eastAsia="fr-BE"/>
        </w:rPr>
        <w:t>la subvention</w:t>
      </w:r>
      <w:r w:rsidR="00B261B1">
        <w:rPr>
          <w:lang w:val="fr-FR" w:eastAsia="fr-BE"/>
        </w:rPr>
        <w:t>. E</w:t>
      </w:r>
      <w:r w:rsidRPr="00386309">
        <w:rPr>
          <w:lang w:val="fr-FR" w:eastAsia="fr-BE"/>
        </w:rPr>
        <w:t xml:space="preserve">n cas de réalisation inacceptable incomplète ou non conforme, les coûts qui en résultent ne seront pas subventionnés voire récupérés le cas échéant. </w:t>
      </w:r>
    </w:p>
    <w:p w14:paraId="49191898" w14:textId="77777777" w:rsidR="00E011FB" w:rsidRPr="00386309" w:rsidRDefault="00E011FB" w:rsidP="008014E5">
      <w:pPr>
        <w:rPr>
          <w:lang w:val="fr-FR" w:eastAsia="fr-BE"/>
        </w:rPr>
      </w:pPr>
      <w:r w:rsidRPr="00386309">
        <w:rPr>
          <w:lang w:val="fr-FR" w:eastAsia="fr-BE"/>
        </w:rPr>
        <w:t xml:space="preserve">§ </w:t>
      </w:r>
      <w:r>
        <w:rPr>
          <w:lang w:val="fr-FR" w:eastAsia="fr-BE"/>
        </w:rPr>
        <w:t>9</w:t>
      </w:r>
      <w:r w:rsidRPr="00386309">
        <w:rPr>
          <w:lang w:val="fr-FR" w:eastAsia="fr-BE"/>
        </w:rPr>
        <w:t xml:space="preserve">. Le demandeur déclare sur </w:t>
      </w:r>
      <w:r>
        <w:rPr>
          <w:lang w:val="fr-FR" w:eastAsia="fr-BE"/>
        </w:rPr>
        <w:t>l’</w:t>
      </w:r>
      <w:r w:rsidRPr="00386309">
        <w:rPr>
          <w:lang w:val="fr-FR" w:eastAsia="fr-BE"/>
        </w:rPr>
        <w:t xml:space="preserve">honneur que toutes les factures soumises pour rendre des comptes ont effectivement été payées. Si tel n’est pas le cas, l’autorité administrative doit en être informée sans délai. </w:t>
      </w:r>
      <w:r>
        <w:rPr>
          <w:lang w:val="fr-FR" w:eastAsia="fr-BE"/>
        </w:rPr>
        <w:t>Elle</w:t>
      </w:r>
      <w:r w:rsidRPr="00386309">
        <w:rPr>
          <w:lang w:val="fr-FR" w:eastAsia="fr-BE"/>
        </w:rPr>
        <w:t xml:space="preserve"> récupérera ensuite cette partie de la subvention. </w:t>
      </w:r>
    </w:p>
    <w:p w14:paraId="281D18A0" w14:textId="1C2AEE2F" w:rsidR="00E011FB" w:rsidRPr="00F44BD5" w:rsidRDefault="00E011FB" w:rsidP="00C915FC">
      <w:pPr>
        <w:pStyle w:val="Titre3"/>
        <w:numPr>
          <w:ilvl w:val="0"/>
          <w:numId w:val="0"/>
        </w:numPr>
      </w:pPr>
      <w:r w:rsidRPr="00C915FC">
        <w:t>Article 5</w:t>
      </w:r>
      <w:r w:rsidR="00B5075A" w:rsidRPr="00C915FC">
        <w:t xml:space="preserve"> – </w:t>
      </w:r>
      <w:r w:rsidRPr="00C915FC">
        <w:t>Obligations du demandeur</w:t>
      </w:r>
    </w:p>
    <w:p w14:paraId="4FA55DB7" w14:textId="77777777" w:rsidR="00E011FB" w:rsidRPr="00386309" w:rsidRDefault="00E011FB" w:rsidP="008014E5">
      <w:pPr>
        <w:rPr>
          <w:lang w:val="fr-FR" w:eastAsia="fr-BE"/>
        </w:rPr>
      </w:pPr>
      <w:r w:rsidRPr="00386309">
        <w:rPr>
          <w:lang w:val="fr-FR" w:eastAsia="fr-BE"/>
        </w:rPr>
        <w:t xml:space="preserve">§ 1. En contrepartie de la subvention, le </w:t>
      </w:r>
      <w:r>
        <w:rPr>
          <w:lang w:val="fr-FR" w:eastAsia="fr-BE"/>
        </w:rPr>
        <w:t>d</w:t>
      </w:r>
      <w:r w:rsidRPr="00386309">
        <w:rPr>
          <w:lang w:val="fr-FR" w:eastAsia="fr-BE"/>
        </w:rPr>
        <w:t xml:space="preserve">emandeur s’engage à réaliser les </w:t>
      </w:r>
      <w:r>
        <w:rPr>
          <w:lang w:val="fr-FR" w:eastAsia="fr-BE"/>
        </w:rPr>
        <w:t>actions</w:t>
      </w:r>
      <w:r w:rsidRPr="00386309">
        <w:rPr>
          <w:lang w:val="fr-FR" w:eastAsia="fr-BE"/>
        </w:rPr>
        <w:t xml:space="preserve"> telle</w:t>
      </w:r>
      <w:r>
        <w:rPr>
          <w:lang w:val="fr-FR" w:eastAsia="fr-BE"/>
        </w:rPr>
        <w:t>s</w:t>
      </w:r>
      <w:r w:rsidRPr="00386309">
        <w:rPr>
          <w:lang w:val="fr-FR" w:eastAsia="fr-BE"/>
        </w:rPr>
        <w:t xml:space="preserve"> que décrit</w:t>
      </w:r>
      <w:r>
        <w:rPr>
          <w:lang w:val="fr-FR" w:eastAsia="fr-BE"/>
        </w:rPr>
        <w:t>e</w:t>
      </w:r>
      <w:r w:rsidRPr="00386309">
        <w:rPr>
          <w:lang w:val="fr-FR" w:eastAsia="fr-BE"/>
        </w:rPr>
        <w:t xml:space="preserve">s dans le projet et l’obligation de résultat, à moins qu’il n’y ait des changements motivés comme décrit au § </w:t>
      </w:r>
      <w:r>
        <w:rPr>
          <w:lang w:val="fr-FR" w:eastAsia="fr-BE"/>
        </w:rPr>
        <w:t>3</w:t>
      </w:r>
      <w:r w:rsidRPr="00386309">
        <w:rPr>
          <w:lang w:val="fr-FR" w:eastAsia="fr-BE"/>
        </w:rPr>
        <w:t xml:space="preserve">. </w:t>
      </w:r>
    </w:p>
    <w:p w14:paraId="0CED3591" w14:textId="47E16AB4" w:rsidR="00E011FB" w:rsidRPr="00386309" w:rsidRDefault="00E011FB" w:rsidP="008014E5">
      <w:pPr>
        <w:rPr>
          <w:lang w:val="fr-FR" w:eastAsia="fr-BE"/>
        </w:rPr>
      </w:pPr>
      <w:r w:rsidRPr="00386309">
        <w:rPr>
          <w:lang w:val="fr-FR" w:eastAsia="fr-BE"/>
        </w:rPr>
        <w:t xml:space="preserve">§ 2. </w:t>
      </w:r>
      <w:r>
        <w:rPr>
          <w:lang w:val="fr-FR" w:eastAsia="fr-BE"/>
        </w:rPr>
        <w:t>L</w:t>
      </w:r>
      <w:r w:rsidRPr="00386309">
        <w:rPr>
          <w:lang w:val="fr-FR" w:eastAsia="fr-BE"/>
        </w:rPr>
        <w:t xml:space="preserve">e </w:t>
      </w:r>
      <w:r>
        <w:rPr>
          <w:lang w:val="fr-FR" w:eastAsia="fr-BE"/>
        </w:rPr>
        <w:t>d</w:t>
      </w:r>
      <w:r w:rsidRPr="00386309">
        <w:rPr>
          <w:lang w:val="fr-FR" w:eastAsia="fr-BE"/>
        </w:rPr>
        <w:t>emandeur doit tenir l</w:t>
      </w:r>
      <w:r w:rsidR="00B261B1">
        <w:rPr>
          <w:lang w:val="fr-FR" w:eastAsia="fr-BE"/>
        </w:rPr>
        <w:t>’</w:t>
      </w:r>
      <w:r w:rsidRPr="00386309">
        <w:rPr>
          <w:lang w:val="fr-FR" w:eastAsia="fr-BE"/>
        </w:rPr>
        <w:t xml:space="preserve">État informé de l’état d’avancement du projet en soumettant </w:t>
      </w:r>
      <w:r>
        <w:rPr>
          <w:lang w:val="fr-FR" w:eastAsia="fr-BE"/>
        </w:rPr>
        <w:t>un rapport de progression semestriel.</w:t>
      </w:r>
    </w:p>
    <w:p w14:paraId="6630E6DA" w14:textId="5A2520C8" w:rsidR="00E011FB" w:rsidRPr="00386309" w:rsidRDefault="00E011FB" w:rsidP="008014E5">
      <w:pPr>
        <w:rPr>
          <w:lang w:val="fr-FR" w:eastAsia="fr-BE"/>
        </w:rPr>
      </w:pPr>
      <w:r w:rsidRPr="00386309">
        <w:rPr>
          <w:lang w:val="fr-FR" w:eastAsia="fr-BE"/>
        </w:rPr>
        <w:t xml:space="preserve">§ 3. S’il n’est pas en mesure d’exécuter une obligation, </w:t>
      </w:r>
      <w:r>
        <w:rPr>
          <w:lang w:val="fr-FR" w:eastAsia="fr-BE"/>
        </w:rPr>
        <w:t>le demandeur</w:t>
      </w:r>
      <w:r w:rsidRPr="00386309">
        <w:rPr>
          <w:lang w:val="fr-FR" w:eastAsia="fr-BE"/>
        </w:rPr>
        <w:t xml:space="preserve"> en informe d’abord et dans les plus brefs délais </w:t>
      </w:r>
      <w:r>
        <w:rPr>
          <w:lang w:val="fr-FR" w:eastAsia="fr-BE"/>
        </w:rPr>
        <w:t>l’</w:t>
      </w:r>
      <w:r w:rsidRPr="00386309">
        <w:rPr>
          <w:lang w:val="fr-FR" w:eastAsia="fr-BE"/>
        </w:rPr>
        <w:t>autorité administrative</w:t>
      </w:r>
      <w:r>
        <w:rPr>
          <w:lang w:val="fr-FR" w:eastAsia="fr-BE"/>
        </w:rPr>
        <w:t xml:space="preserve"> par </w:t>
      </w:r>
      <w:r w:rsidRPr="00386309">
        <w:rPr>
          <w:lang w:val="fr-FR" w:eastAsia="fr-BE"/>
        </w:rPr>
        <w:t>une lettre motivée</w:t>
      </w:r>
      <w:r w:rsidR="00B261B1">
        <w:rPr>
          <w:lang w:val="fr-FR" w:eastAsia="fr-BE"/>
        </w:rPr>
        <w:t>. I</w:t>
      </w:r>
      <w:r w:rsidRPr="00386309">
        <w:rPr>
          <w:lang w:val="fr-FR" w:eastAsia="fr-BE"/>
        </w:rPr>
        <w:t>l en va de même lorsque des parties du projet doivent être modifiées. La justification fait clairement référence aux raisons et aux conséquences, y compris les résultats et les coûts, de ces nouveaux éléments.</w:t>
      </w:r>
    </w:p>
    <w:p w14:paraId="3CE97BA4" w14:textId="27E76662" w:rsidR="00E011FB" w:rsidRPr="00386309" w:rsidRDefault="00E011FB" w:rsidP="008014E5">
      <w:pPr>
        <w:rPr>
          <w:lang w:val="fr-FR" w:eastAsia="fr-BE"/>
        </w:rPr>
      </w:pPr>
      <w:r w:rsidRPr="00386309">
        <w:rPr>
          <w:lang w:val="fr-FR" w:eastAsia="fr-BE"/>
        </w:rPr>
        <w:t xml:space="preserve">§ 4. Un groupe de travail sous la coordination du ministre </w:t>
      </w:r>
      <w:r w:rsidRPr="00386309">
        <w:rPr>
          <w:highlight w:val="yellow"/>
          <w:lang w:val="fr-FR" w:eastAsia="fr-BE"/>
        </w:rPr>
        <w:t>****</w:t>
      </w:r>
      <w:r w:rsidRPr="00386309">
        <w:rPr>
          <w:lang w:val="fr-FR" w:eastAsia="fr-BE"/>
        </w:rPr>
        <w:t>, composé</w:t>
      </w:r>
      <w:r w:rsidR="00B261B1">
        <w:rPr>
          <w:lang w:val="fr-FR" w:eastAsia="fr-BE"/>
        </w:rPr>
        <w:t xml:space="preserve"> de</w:t>
      </w:r>
      <w:r w:rsidRPr="00386309">
        <w:rPr>
          <w:lang w:val="fr-FR" w:eastAsia="fr-BE"/>
        </w:rPr>
        <w:t xml:space="preserve"> </w:t>
      </w:r>
      <w:r w:rsidRPr="00386309">
        <w:rPr>
          <w:highlight w:val="yellow"/>
          <w:lang w:val="fr-FR" w:eastAsia="fr-BE"/>
        </w:rPr>
        <w:t>****</w:t>
      </w:r>
      <w:r w:rsidRPr="00386309">
        <w:rPr>
          <w:lang w:val="fr-FR" w:eastAsia="fr-BE"/>
        </w:rPr>
        <w:t>, évaluera la mise en œuvre du projet</w:t>
      </w:r>
      <w:r>
        <w:rPr>
          <w:lang w:val="fr-FR" w:eastAsia="fr-BE"/>
        </w:rPr>
        <w:t xml:space="preserve"> et des actions</w:t>
      </w:r>
      <w:r w:rsidRPr="00386309">
        <w:rPr>
          <w:lang w:val="fr-FR" w:eastAsia="fr-BE"/>
        </w:rPr>
        <w:t>, à la lumière de l’obligation de résultat incluse dans le projet et approuvera ou non le rapport de projet.</w:t>
      </w:r>
    </w:p>
    <w:p w14:paraId="07BF0005" w14:textId="734F915E" w:rsidR="00E011FB" w:rsidRDefault="00E011FB" w:rsidP="008014E5">
      <w:pPr>
        <w:rPr>
          <w:lang w:val="fr-FR" w:eastAsia="fr-BE"/>
        </w:rPr>
      </w:pPr>
      <w:r w:rsidRPr="00386309">
        <w:rPr>
          <w:lang w:val="fr-FR" w:eastAsia="fr-BE"/>
        </w:rPr>
        <w:t>§ 5. En cas de non-respect des engagements et obligations ainsi qu’en cas de modification du projet, l’</w:t>
      </w:r>
      <w:r w:rsidR="00B261B1">
        <w:rPr>
          <w:lang w:val="fr-FR" w:eastAsia="fr-BE"/>
        </w:rPr>
        <w:t>É</w:t>
      </w:r>
      <w:r w:rsidRPr="00386309">
        <w:rPr>
          <w:lang w:val="fr-FR" w:eastAsia="fr-BE"/>
        </w:rPr>
        <w:t xml:space="preserve">tat se réserve expressément le droit de réduire la subvention en conséquence après avoir entendu le </w:t>
      </w:r>
      <w:r>
        <w:rPr>
          <w:lang w:val="fr-FR" w:eastAsia="fr-BE"/>
        </w:rPr>
        <w:t>d</w:t>
      </w:r>
      <w:r w:rsidRPr="00386309">
        <w:rPr>
          <w:lang w:val="fr-FR" w:eastAsia="fr-BE"/>
        </w:rPr>
        <w:t>emandeur.</w:t>
      </w:r>
    </w:p>
    <w:p w14:paraId="08203D9C" w14:textId="684558E6" w:rsidR="00E011FB" w:rsidRPr="00386309" w:rsidRDefault="00E011FB" w:rsidP="008014E5">
      <w:pPr>
        <w:rPr>
          <w:lang w:val="fr-FR" w:eastAsia="fr-BE"/>
        </w:rPr>
      </w:pPr>
      <w:r w:rsidRPr="00386309">
        <w:rPr>
          <w:lang w:val="fr-FR" w:eastAsia="fr-BE"/>
        </w:rPr>
        <w:t xml:space="preserve">§ 6. Indépendamment de ce qui est prévu pour les contacts et le suivi entre les parties, le </w:t>
      </w:r>
      <w:r>
        <w:rPr>
          <w:lang w:val="fr-FR" w:eastAsia="fr-BE"/>
        </w:rPr>
        <w:t>d</w:t>
      </w:r>
      <w:r w:rsidRPr="00386309">
        <w:rPr>
          <w:lang w:val="fr-FR" w:eastAsia="fr-BE"/>
        </w:rPr>
        <w:t xml:space="preserve">emandeur s’engage à informer </w:t>
      </w:r>
      <w:r>
        <w:rPr>
          <w:lang w:val="fr-FR" w:eastAsia="fr-BE"/>
        </w:rPr>
        <w:t>l’</w:t>
      </w:r>
      <w:r w:rsidRPr="00386309">
        <w:rPr>
          <w:lang w:val="fr-FR" w:eastAsia="fr-BE"/>
        </w:rPr>
        <w:t>autorité administrative des situations qui se rapportent à la réalisation du projet et qui peuvent l’affecter, telles que, entre autres</w:t>
      </w:r>
      <w:r w:rsidR="00B261B1">
        <w:rPr>
          <w:lang w:val="fr-FR" w:eastAsia="fr-BE"/>
        </w:rPr>
        <w:t> </w:t>
      </w:r>
      <w:r w:rsidRPr="00386309">
        <w:rPr>
          <w:lang w:val="fr-FR" w:eastAsia="fr-BE"/>
        </w:rPr>
        <w:t xml:space="preserve">: changement dans la structure et de la situation juridique et financière du </w:t>
      </w:r>
      <w:r>
        <w:rPr>
          <w:lang w:val="fr-FR" w:eastAsia="fr-BE"/>
        </w:rPr>
        <w:t>d</w:t>
      </w:r>
      <w:r w:rsidRPr="00386309">
        <w:rPr>
          <w:lang w:val="fr-FR" w:eastAsia="fr-BE"/>
        </w:rPr>
        <w:t>emandeur ou incapacité (même temporaire) de poursuivre les réalisations.</w:t>
      </w:r>
    </w:p>
    <w:p w14:paraId="024DFA30" w14:textId="175EF323" w:rsidR="00E011FB" w:rsidRPr="00386309" w:rsidRDefault="00E011FB" w:rsidP="008014E5">
      <w:pPr>
        <w:rPr>
          <w:lang w:val="fr-FR" w:eastAsia="fr-BE"/>
        </w:rPr>
      </w:pPr>
      <w:r w:rsidRPr="00386309">
        <w:rPr>
          <w:lang w:val="fr-FR" w:eastAsia="fr-BE"/>
        </w:rPr>
        <w:t xml:space="preserve">§ 7. En ce qui concerne la mise en œuvre </w:t>
      </w:r>
      <w:r>
        <w:rPr>
          <w:lang w:val="fr-FR" w:eastAsia="fr-BE"/>
        </w:rPr>
        <w:t>de la présente convention</w:t>
      </w:r>
      <w:r w:rsidRPr="00386309">
        <w:rPr>
          <w:lang w:val="fr-FR" w:eastAsia="fr-BE"/>
        </w:rPr>
        <w:t xml:space="preserve">, le </w:t>
      </w:r>
      <w:r>
        <w:rPr>
          <w:lang w:val="fr-FR" w:eastAsia="fr-BE"/>
        </w:rPr>
        <w:t>d</w:t>
      </w:r>
      <w:r w:rsidRPr="00386309">
        <w:rPr>
          <w:lang w:val="fr-FR" w:eastAsia="fr-BE"/>
        </w:rPr>
        <w:t>emandeur s’engage à donner suite aux questions et observations qui lui sont signifiées par l’</w:t>
      </w:r>
      <w:r>
        <w:rPr>
          <w:lang w:val="fr-FR" w:eastAsia="fr-BE"/>
        </w:rPr>
        <w:t>a</w:t>
      </w:r>
      <w:r w:rsidRPr="00386309">
        <w:rPr>
          <w:lang w:val="fr-FR" w:eastAsia="fr-BE"/>
        </w:rPr>
        <w:t>utorité administrative ou le groupe de travail, pour autant qu’elles soient justifiées.</w:t>
      </w:r>
    </w:p>
    <w:p w14:paraId="4E34E7DA" w14:textId="4C014966" w:rsidR="00E011FB" w:rsidRPr="00386309" w:rsidRDefault="00E011FB" w:rsidP="008014E5">
      <w:pPr>
        <w:rPr>
          <w:lang w:val="fr-FR" w:eastAsia="fr-BE"/>
        </w:rPr>
      </w:pPr>
      <w:r w:rsidRPr="00386309">
        <w:rPr>
          <w:lang w:val="fr-FR"/>
        </w:rPr>
        <w:t xml:space="preserve">§ 8. </w:t>
      </w:r>
      <w:r w:rsidRPr="00386309">
        <w:rPr>
          <w:lang w:val="fr-FR" w:eastAsia="fr-BE"/>
        </w:rPr>
        <w:t>L</w:t>
      </w:r>
      <w:r>
        <w:rPr>
          <w:lang w:val="fr-FR" w:eastAsia="fr-BE"/>
        </w:rPr>
        <w:t>’</w:t>
      </w:r>
      <w:r w:rsidRPr="00386309">
        <w:rPr>
          <w:lang w:val="fr-FR" w:eastAsia="fr-BE"/>
        </w:rPr>
        <w:t xml:space="preserve">autorité administrative </w:t>
      </w:r>
      <w:r>
        <w:rPr>
          <w:lang w:val="fr-FR" w:eastAsia="fr-BE"/>
        </w:rPr>
        <w:t>est</w:t>
      </w:r>
      <w:r w:rsidRPr="00386309">
        <w:rPr>
          <w:lang w:val="fr-FR" w:eastAsia="fr-BE"/>
        </w:rPr>
        <w:t xml:space="preserve"> soumise aux règles de contrôle administratif et budgétaire de divers organismes en Belgique (contrôle des engagements, </w:t>
      </w:r>
      <w:r w:rsidR="00B261B1">
        <w:rPr>
          <w:lang w:val="fr-FR" w:eastAsia="fr-BE"/>
        </w:rPr>
        <w:t>I</w:t>
      </w:r>
      <w:r w:rsidRPr="00386309">
        <w:rPr>
          <w:lang w:val="fr-FR" w:eastAsia="fr-BE"/>
        </w:rPr>
        <w:t xml:space="preserve">nspection des </w:t>
      </w:r>
      <w:r w:rsidR="00B261B1">
        <w:rPr>
          <w:lang w:val="fr-FR" w:eastAsia="fr-BE"/>
        </w:rPr>
        <w:t>F</w:t>
      </w:r>
      <w:r w:rsidRPr="00386309">
        <w:rPr>
          <w:lang w:val="fr-FR" w:eastAsia="fr-BE"/>
        </w:rPr>
        <w:t xml:space="preserve">inances, contrôle interne fédéral, Cour des comptes, Cellule d’audit fédéral pour le </w:t>
      </w:r>
      <w:r w:rsidR="00900276" w:rsidRPr="00900276">
        <w:rPr>
          <w:lang w:val="fr-FR" w:eastAsia="fr-BE"/>
        </w:rPr>
        <w:t>plan pour la reprise et la résilience</w:t>
      </w:r>
      <w:r w:rsidRPr="00386309">
        <w:rPr>
          <w:lang w:val="fr-FR" w:eastAsia="fr-BE"/>
        </w:rPr>
        <w:t>) mais également européennes (OLAF, Cour des comptes européenne)</w:t>
      </w:r>
      <w:r w:rsidR="00B261B1">
        <w:rPr>
          <w:lang w:val="fr-FR" w:eastAsia="fr-BE"/>
        </w:rPr>
        <w:t>. D</w:t>
      </w:r>
      <w:r w:rsidRPr="00386309">
        <w:rPr>
          <w:lang w:val="fr-FR" w:eastAsia="fr-BE"/>
        </w:rPr>
        <w:t xml:space="preserve">ès lors en acceptant la subvention, le </w:t>
      </w:r>
      <w:r w:rsidR="00B261B1">
        <w:rPr>
          <w:lang w:val="fr-FR" w:eastAsia="fr-BE"/>
        </w:rPr>
        <w:t>d</w:t>
      </w:r>
      <w:r w:rsidRPr="00386309">
        <w:rPr>
          <w:lang w:val="fr-FR" w:eastAsia="fr-BE"/>
        </w:rPr>
        <w:t>emandeur :</w:t>
      </w:r>
    </w:p>
    <w:p w14:paraId="4A1E8E30" w14:textId="20394F01" w:rsidR="00E011FB" w:rsidRDefault="00E011FB" w:rsidP="00F44BD5">
      <w:pPr>
        <w:pStyle w:val="Indent1"/>
        <w:rPr>
          <w:lang w:val="fr-FR" w:eastAsia="fr-BE"/>
        </w:rPr>
      </w:pPr>
      <w:r w:rsidRPr="00386309">
        <w:rPr>
          <w:lang w:val="fr-FR" w:eastAsia="fr-BE"/>
        </w:rPr>
        <w:lastRenderedPageBreak/>
        <w:t xml:space="preserve">1° accorde </w:t>
      </w:r>
      <w:r>
        <w:rPr>
          <w:lang w:val="fr-FR" w:eastAsia="fr-BE"/>
        </w:rPr>
        <w:t>à l’</w:t>
      </w:r>
      <w:r w:rsidRPr="00386309">
        <w:rPr>
          <w:lang w:val="fr-FR" w:eastAsia="fr-BE"/>
        </w:rPr>
        <w:t>autorité administrative et aux différents organismes de contrôle le droit de contrôler l’utilisation des fonds alloués conformément à la forme et aux modalités prévues par la réglementation, y compris les contrôles sur place</w:t>
      </w:r>
      <w:r w:rsidR="00B261B1">
        <w:rPr>
          <w:lang w:val="fr-FR" w:eastAsia="fr-BE"/>
        </w:rPr>
        <w:t>,</w:t>
      </w:r>
    </w:p>
    <w:p w14:paraId="200B38FD" w14:textId="45349B75" w:rsidR="00E011FB" w:rsidRPr="00386309" w:rsidRDefault="00E011FB" w:rsidP="00F44BD5">
      <w:pPr>
        <w:pStyle w:val="Indent1"/>
        <w:rPr>
          <w:lang w:val="fr-FR" w:eastAsia="fr-BE"/>
        </w:rPr>
      </w:pPr>
      <w:r w:rsidRPr="00386309">
        <w:rPr>
          <w:lang w:val="fr-FR" w:eastAsia="fr-BE"/>
        </w:rPr>
        <w:t>2° s’engage à tout mettre en œuvre pour faciliter les éventuels contrôles.</w:t>
      </w:r>
    </w:p>
    <w:p w14:paraId="3DB391EF" w14:textId="5198A6D7" w:rsidR="00E011FB" w:rsidRPr="00386309" w:rsidRDefault="00E011FB" w:rsidP="008170D8">
      <w:pPr>
        <w:rPr>
          <w:lang w:val="fr-FR" w:eastAsia="fr-BE"/>
        </w:rPr>
      </w:pPr>
      <w:r w:rsidRPr="00386309">
        <w:rPr>
          <w:lang w:val="fr-FR" w:eastAsia="fr-BE"/>
        </w:rPr>
        <w:t xml:space="preserve">§ 9. En cas de non-respect de ses obligations, l’État peut, pour des raisons qu’il justifie, priver le </w:t>
      </w:r>
      <w:r>
        <w:rPr>
          <w:lang w:val="fr-FR" w:eastAsia="fr-BE"/>
        </w:rPr>
        <w:t>d</w:t>
      </w:r>
      <w:r w:rsidRPr="00386309">
        <w:rPr>
          <w:lang w:val="fr-FR" w:eastAsia="fr-BE"/>
        </w:rPr>
        <w:t>emandeur de sa subvention, le cas échéant, la réclamer</w:t>
      </w:r>
      <w:r w:rsidR="00B261B1">
        <w:rPr>
          <w:lang w:val="fr-FR" w:eastAsia="fr-BE"/>
        </w:rPr>
        <w:t> </w:t>
      </w:r>
      <w:r w:rsidRPr="00386309">
        <w:rPr>
          <w:lang w:val="fr-FR" w:eastAsia="fr-BE"/>
        </w:rPr>
        <w:t>; dans ce cas, le demandeur ne peut plus utiliser ou invoquer la subvention obtenue.</w:t>
      </w:r>
    </w:p>
    <w:p w14:paraId="56CA088C" w14:textId="6869AD23" w:rsidR="00E011FB" w:rsidRPr="00C915FC" w:rsidRDefault="00E011FB" w:rsidP="00C915FC">
      <w:pPr>
        <w:pStyle w:val="Titre3"/>
        <w:numPr>
          <w:ilvl w:val="0"/>
          <w:numId w:val="0"/>
        </w:numPr>
      </w:pPr>
      <w:r w:rsidRPr="00C915FC">
        <w:t>Article 6</w:t>
      </w:r>
      <w:r w:rsidR="00B261B1" w:rsidRPr="00C915FC">
        <w:t xml:space="preserve"> – </w:t>
      </w:r>
      <w:r w:rsidRPr="00C915FC">
        <w:t>Rapportages européens dans l</w:t>
      </w:r>
      <w:r w:rsidR="00C915FC">
        <w:t>e</w:t>
      </w:r>
      <w:r w:rsidRPr="00C915FC">
        <w:t xml:space="preserve"> cadre de la mise en œuvre du projet</w:t>
      </w:r>
    </w:p>
    <w:p w14:paraId="4180248B" w14:textId="392404D0" w:rsidR="00E011FB" w:rsidRPr="00386309" w:rsidRDefault="00E011FB" w:rsidP="008170D8">
      <w:pPr>
        <w:rPr>
          <w:lang w:val="fr-FR" w:eastAsia="fr-BE"/>
        </w:rPr>
      </w:pPr>
      <w:r w:rsidRPr="00386309">
        <w:rPr>
          <w:lang w:val="fr-FR" w:eastAsia="fr-BE"/>
        </w:rPr>
        <w:t>§ 1. Le demandeur transmet toutes les informations demandées dans les délais fixés par l’</w:t>
      </w:r>
      <w:r w:rsidR="00C915FC">
        <w:rPr>
          <w:lang w:val="fr-FR" w:eastAsia="fr-BE"/>
        </w:rPr>
        <w:t>É</w:t>
      </w:r>
      <w:r w:rsidRPr="00386309">
        <w:rPr>
          <w:lang w:val="fr-FR" w:eastAsia="fr-BE"/>
        </w:rPr>
        <w:t>tat concernant les différents rapportages européens, à savoir</w:t>
      </w:r>
      <w:r w:rsidR="00C915FC">
        <w:rPr>
          <w:lang w:val="fr-FR" w:eastAsia="fr-BE"/>
        </w:rPr>
        <w:t xml:space="preserve"> </w:t>
      </w:r>
      <w:r w:rsidRPr="00386309">
        <w:rPr>
          <w:lang w:val="fr-FR" w:eastAsia="fr-BE"/>
        </w:rPr>
        <w:t>deux fois par an</w:t>
      </w:r>
      <w:r w:rsidR="00C915FC">
        <w:rPr>
          <w:lang w:val="fr-FR" w:eastAsia="fr-BE"/>
        </w:rPr>
        <w:t> </w:t>
      </w:r>
      <w:r w:rsidRPr="00386309">
        <w:rPr>
          <w:lang w:val="fr-FR" w:eastAsia="fr-BE"/>
        </w:rPr>
        <w:t>:</w:t>
      </w:r>
    </w:p>
    <w:p w14:paraId="6C06BE23" w14:textId="35D96506" w:rsidR="00E011FB" w:rsidRPr="00386309" w:rsidRDefault="00E011FB" w:rsidP="008170D8">
      <w:pPr>
        <w:pStyle w:val="Bullet1"/>
        <w:rPr>
          <w:lang w:eastAsia="fr-BE"/>
        </w:rPr>
      </w:pPr>
      <w:r w:rsidRPr="008C4F63">
        <w:rPr>
          <w:lang w:eastAsia="fr-BE"/>
        </w:rPr>
        <w:t xml:space="preserve">le rapportage </w:t>
      </w:r>
      <w:r>
        <w:rPr>
          <w:lang w:eastAsia="fr-BE"/>
        </w:rPr>
        <w:t>semestriel</w:t>
      </w:r>
      <w:r w:rsidRPr="008C4F63">
        <w:rPr>
          <w:lang w:eastAsia="fr-BE"/>
        </w:rPr>
        <w:t xml:space="preserve"> des </w:t>
      </w:r>
      <w:r w:rsidRPr="00F6738D">
        <w:rPr>
          <w:lang w:eastAsia="fr-BE"/>
        </w:rPr>
        <w:t>actions</w:t>
      </w:r>
      <w:r w:rsidRPr="00386309">
        <w:rPr>
          <w:lang w:eastAsia="fr-BE"/>
        </w:rPr>
        <w:t> ;</w:t>
      </w:r>
    </w:p>
    <w:p w14:paraId="59B93628" w14:textId="57519A00" w:rsidR="00E011FB" w:rsidRPr="00386309" w:rsidRDefault="00E011FB" w:rsidP="008170D8">
      <w:pPr>
        <w:pStyle w:val="Bullet1"/>
        <w:rPr>
          <w:lang w:eastAsia="fr-BE"/>
        </w:rPr>
      </w:pPr>
      <w:r w:rsidRPr="00386309">
        <w:rPr>
          <w:lang w:eastAsia="fr-BE"/>
        </w:rPr>
        <w:t>le rapportage lié aux demandes de paiement ;</w:t>
      </w:r>
    </w:p>
    <w:p w14:paraId="36586BAB" w14:textId="0476B980" w:rsidR="00E011FB" w:rsidRPr="00C915FC" w:rsidRDefault="00C915FC" w:rsidP="008170D8">
      <w:pPr>
        <w:pStyle w:val="Bullet1"/>
        <w:rPr>
          <w:highlight w:val="yellow"/>
          <w:lang w:eastAsia="fr-BE"/>
        </w:rPr>
      </w:pPr>
      <w:r>
        <w:rPr>
          <w:highlight w:val="yellow"/>
          <w:lang w:eastAsia="fr-BE"/>
        </w:rPr>
        <w:t>l</w:t>
      </w:r>
      <w:r w:rsidR="00E011FB" w:rsidRPr="00C915FC">
        <w:rPr>
          <w:highlight w:val="yellow"/>
          <w:lang w:eastAsia="fr-BE"/>
        </w:rPr>
        <w:t>e total des dépenses cumulées</w:t>
      </w:r>
      <w:r>
        <w:rPr>
          <w:highlight w:val="yellow"/>
          <w:lang w:eastAsia="fr-BE"/>
        </w:rPr>
        <w:t xml:space="preserve"> </w:t>
      </w:r>
      <w:r w:rsidRPr="00C915FC">
        <w:rPr>
          <w:highlight w:val="yellow"/>
          <w:lang w:eastAsia="fr-BE"/>
        </w:rPr>
        <w:t>[</w:t>
      </w:r>
      <w:r w:rsidRPr="00C915FC">
        <w:rPr>
          <w:i/>
          <w:iCs/>
          <w:highlight w:val="yellow"/>
          <w:lang w:eastAsia="fr-BE"/>
        </w:rPr>
        <w:t>uniquement si le projet est repris dans la liste des projets avec un marquage vert</w:t>
      </w:r>
      <w:r w:rsidR="00E011FB" w:rsidRPr="00C915FC">
        <w:rPr>
          <w:highlight w:val="yellow"/>
          <w:lang w:eastAsia="fr-BE"/>
        </w:rPr>
        <w:t>]</w:t>
      </w:r>
      <w:r>
        <w:rPr>
          <w:highlight w:val="yellow"/>
          <w:lang w:eastAsia="fr-BE"/>
        </w:rPr>
        <w:t> ;</w:t>
      </w:r>
    </w:p>
    <w:p w14:paraId="73030444" w14:textId="5DC02019" w:rsidR="00E011FB" w:rsidRPr="00386309" w:rsidRDefault="00C915FC" w:rsidP="008170D8">
      <w:pPr>
        <w:pStyle w:val="Bullet1"/>
        <w:rPr>
          <w:lang w:eastAsia="fr-BE"/>
        </w:rPr>
      </w:pPr>
      <w:r>
        <w:rPr>
          <w:highlight w:val="yellow"/>
          <w:lang w:eastAsia="fr-BE"/>
        </w:rPr>
        <w:t xml:space="preserve">le </w:t>
      </w:r>
      <w:r w:rsidR="00E011FB" w:rsidRPr="00C915FC">
        <w:rPr>
          <w:highlight w:val="yellow"/>
          <w:lang w:eastAsia="fr-BE"/>
        </w:rPr>
        <w:t>relevé de(s) (l’)indicateur(s) de performance identifié pour le projet</w:t>
      </w:r>
      <w:r>
        <w:rPr>
          <w:lang w:eastAsia="fr-BE"/>
        </w:rPr>
        <w:t xml:space="preserve"> </w:t>
      </w:r>
      <w:r w:rsidRPr="00912113">
        <w:rPr>
          <w:highlight w:val="yellow"/>
          <w:lang w:eastAsia="fr-BE"/>
        </w:rPr>
        <w:t>[</w:t>
      </w:r>
      <w:r w:rsidRPr="00912113">
        <w:rPr>
          <w:i/>
          <w:iCs/>
          <w:highlight w:val="yellow"/>
          <w:lang w:eastAsia="fr-BE"/>
        </w:rPr>
        <w:t>uniquement si le projet est concerné par un ou plusieurs indicateurs</w:t>
      </w:r>
      <w:r w:rsidRPr="00912113">
        <w:rPr>
          <w:highlight w:val="yellow"/>
          <w:lang w:eastAsia="fr-BE"/>
        </w:rPr>
        <w:t>]</w:t>
      </w:r>
      <w:r>
        <w:rPr>
          <w:highlight w:val="yellow"/>
          <w:lang w:eastAsia="fr-BE"/>
        </w:rPr>
        <w:t> </w:t>
      </w:r>
      <w:r>
        <w:rPr>
          <w:lang w:eastAsia="fr-BE"/>
        </w:rPr>
        <w:t>;</w:t>
      </w:r>
    </w:p>
    <w:p w14:paraId="55C788BB" w14:textId="3BBBF656" w:rsidR="00E011FB" w:rsidRPr="006C1E37" w:rsidRDefault="00C915FC" w:rsidP="008170D8">
      <w:pPr>
        <w:pStyle w:val="Bullet1"/>
        <w:rPr>
          <w:i/>
          <w:lang w:eastAsia="fr-BE"/>
        </w:rPr>
      </w:pPr>
      <w:r>
        <w:rPr>
          <w:lang w:eastAsia="fr-BE"/>
        </w:rPr>
        <w:t>p</w:t>
      </w:r>
      <w:r w:rsidR="00E011FB" w:rsidRPr="00386309">
        <w:rPr>
          <w:lang w:eastAsia="fr-BE"/>
        </w:rPr>
        <w:t>our le 15 février de chaque année, l’exécution provisoire du budget de l’année précédente par code économique</w:t>
      </w:r>
      <w:r>
        <w:rPr>
          <w:lang w:eastAsia="fr-BE"/>
        </w:rPr>
        <w:t xml:space="preserve"> </w:t>
      </w:r>
      <w:r w:rsidR="00E011FB" w:rsidRPr="006C1E37">
        <w:rPr>
          <w:i/>
          <w:iCs/>
          <w:highlight w:val="yellow"/>
          <w:lang w:eastAsia="fr-BE"/>
        </w:rPr>
        <w:t>[uniquement pour les organismes consolidés</w:t>
      </w:r>
      <w:r w:rsidR="00E011FB">
        <w:rPr>
          <w:i/>
          <w:iCs/>
          <w:highlight w:val="yellow"/>
          <w:lang w:eastAsia="fr-BE"/>
        </w:rPr>
        <w:t xml:space="preserve"> S1311</w:t>
      </w:r>
      <w:r w:rsidR="00E011FB" w:rsidRPr="006C1E37">
        <w:rPr>
          <w:i/>
          <w:iCs/>
          <w:highlight w:val="yellow"/>
          <w:lang w:eastAsia="fr-BE"/>
        </w:rPr>
        <w:t>]</w:t>
      </w:r>
      <w:r>
        <w:rPr>
          <w:i/>
          <w:iCs/>
          <w:lang w:eastAsia="fr-BE"/>
        </w:rPr>
        <w:t> </w:t>
      </w:r>
      <w:r w:rsidR="00E011FB" w:rsidRPr="006C1E37">
        <w:rPr>
          <w:i/>
          <w:iCs/>
          <w:lang w:eastAsia="fr-BE"/>
        </w:rPr>
        <w:t>;</w:t>
      </w:r>
    </w:p>
    <w:p w14:paraId="62D55AA7" w14:textId="34E613BD" w:rsidR="00E011FB" w:rsidRPr="006C1E37" w:rsidRDefault="00C915FC" w:rsidP="008170D8">
      <w:pPr>
        <w:pStyle w:val="Bullet1"/>
        <w:rPr>
          <w:i/>
          <w:lang w:eastAsia="fr-BE"/>
        </w:rPr>
      </w:pPr>
      <w:r>
        <w:rPr>
          <w:lang w:eastAsia="fr-BE"/>
        </w:rPr>
        <w:t>p</w:t>
      </w:r>
      <w:r w:rsidR="00E011FB" w:rsidRPr="00386309">
        <w:rPr>
          <w:lang w:eastAsia="fr-BE"/>
        </w:rPr>
        <w:t>our le 15 mai de chaque année, l’exécution finale du budget de l’année précédente</w:t>
      </w:r>
      <w:r w:rsidR="00E011FB">
        <w:rPr>
          <w:lang w:eastAsia="fr-BE"/>
        </w:rPr>
        <w:t xml:space="preserve"> </w:t>
      </w:r>
      <w:r w:rsidR="00E011FB" w:rsidRPr="006C1E37">
        <w:rPr>
          <w:i/>
          <w:iCs/>
          <w:highlight w:val="yellow"/>
          <w:lang w:eastAsia="fr-BE"/>
        </w:rPr>
        <w:t>[uniquement pour les organismes consolidés</w:t>
      </w:r>
      <w:r w:rsidR="00E011FB">
        <w:rPr>
          <w:i/>
          <w:iCs/>
          <w:highlight w:val="yellow"/>
          <w:lang w:eastAsia="fr-BE"/>
        </w:rPr>
        <w:t xml:space="preserve"> S1311</w:t>
      </w:r>
      <w:r w:rsidR="00E011FB" w:rsidRPr="006C1E37">
        <w:rPr>
          <w:i/>
          <w:iCs/>
          <w:highlight w:val="yellow"/>
          <w:lang w:eastAsia="fr-BE"/>
        </w:rPr>
        <w:t>]</w:t>
      </w:r>
      <w:r w:rsidR="00E011FB" w:rsidRPr="006C1E37">
        <w:rPr>
          <w:lang w:eastAsia="fr-BE"/>
        </w:rPr>
        <w:t>.</w:t>
      </w:r>
      <w:r w:rsidR="00E011FB" w:rsidRPr="00386309">
        <w:rPr>
          <w:lang w:eastAsia="fr-BE"/>
        </w:rPr>
        <w:t xml:space="preserve"> </w:t>
      </w:r>
    </w:p>
    <w:p w14:paraId="78850AE2" w14:textId="251DA945" w:rsidR="00E011FB" w:rsidRPr="00C915FC" w:rsidRDefault="00E011FB" w:rsidP="00C915FC">
      <w:pPr>
        <w:pStyle w:val="Titre3"/>
        <w:numPr>
          <w:ilvl w:val="0"/>
          <w:numId w:val="0"/>
        </w:numPr>
      </w:pPr>
      <w:r w:rsidRPr="00C915FC">
        <w:t>Article 7</w:t>
      </w:r>
      <w:r w:rsidR="00C915FC" w:rsidRPr="00C915FC">
        <w:t xml:space="preserve"> – </w:t>
      </w:r>
      <w:r w:rsidRPr="00C915FC">
        <w:t>Absence de double financement, de conflit d’intérêt, de fraude et de corruption</w:t>
      </w:r>
    </w:p>
    <w:p w14:paraId="3BDC2543" w14:textId="5B88FDAE" w:rsidR="00E011FB" w:rsidRPr="008C4F63" w:rsidRDefault="00E011FB" w:rsidP="008170D8">
      <w:pPr>
        <w:rPr>
          <w:lang w:val="fr-FR" w:eastAsia="fr-BE"/>
        </w:rPr>
      </w:pPr>
      <w:r w:rsidRPr="008C4F63">
        <w:rPr>
          <w:lang w:val="fr-FR" w:eastAsia="fr-BE"/>
        </w:rPr>
        <w:t>§ 1.</w:t>
      </w:r>
      <w:r>
        <w:rPr>
          <w:lang w:val="fr-FR" w:eastAsia="fr-BE"/>
        </w:rPr>
        <w:t xml:space="preserve"> </w:t>
      </w:r>
      <w:r w:rsidRPr="008C4F63">
        <w:rPr>
          <w:lang w:val="fr-FR" w:eastAsia="fr-BE"/>
        </w:rPr>
        <w:t>Conformément à l’article 22 du règlement européen 2021/241 relatif à la protection des intérêts financiers de l’Union, le demandeur doit :</w:t>
      </w:r>
    </w:p>
    <w:p w14:paraId="078E3DBB" w14:textId="77777777" w:rsidR="00E011FB" w:rsidRPr="008C4F63" w:rsidRDefault="00E011FB" w:rsidP="008170D8">
      <w:pPr>
        <w:pStyle w:val="Bullet1"/>
        <w:rPr>
          <w:lang w:eastAsia="fr-BE"/>
        </w:rPr>
      </w:pPr>
      <w:r w:rsidRPr="008C4F63">
        <w:rPr>
          <w:lang w:eastAsia="fr-BE"/>
        </w:rPr>
        <w:t>prévoir un système de contrôle interne efficace et efficient,</w:t>
      </w:r>
    </w:p>
    <w:p w14:paraId="76E2DFDC" w14:textId="77777777" w:rsidR="00E011FB" w:rsidRPr="008C4F63" w:rsidRDefault="00E011FB" w:rsidP="008170D8">
      <w:pPr>
        <w:pStyle w:val="Bullet1"/>
        <w:rPr>
          <w:lang w:eastAsia="fr-BE"/>
        </w:rPr>
      </w:pPr>
      <w:r w:rsidRPr="008C4F63">
        <w:rPr>
          <w:lang w:eastAsia="fr-BE"/>
        </w:rPr>
        <w:t>prendre des mesures pour prévenir, détecter et corriger toute fraude, toute corruption et tout conflit d’intérêt.</w:t>
      </w:r>
    </w:p>
    <w:p w14:paraId="031CC609" w14:textId="7AB25AD5" w:rsidR="00E011FB" w:rsidRPr="008C4F63" w:rsidRDefault="00E011FB" w:rsidP="008170D8">
      <w:pPr>
        <w:rPr>
          <w:lang w:val="fr-FR" w:eastAsia="fr-BE"/>
        </w:rPr>
      </w:pPr>
      <w:r w:rsidRPr="008C4F63">
        <w:rPr>
          <w:lang w:val="fr-FR" w:eastAsia="fr-BE"/>
        </w:rPr>
        <w:t>Pour ce faire</w:t>
      </w:r>
      <w:r w:rsidR="00C915FC">
        <w:rPr>
          <w:lang w:val="fr-FR" w:eastAsia="fr-BE"/>
        </w:rPr>
        <w:t>,</w:t>
      </w:r>
      <w:r w:rsidRPr="008C4F63">
        <w:rPr>
          <w:lang w:val="fr-FR" w:eastAsia="fr-BE"/>
        </w:rPr>
        <w:t xml:space="preserve"> le demandeur certifie sur l’honneur que les dépenses du projet ne font pas l’objet d’un double financement et qu’il a réalisé une analyse de risque préventive, établi un plan d’action pour les maîtriser et procédé aux vérifications utiles. Il transmettra à l’autorité administrative</w:t>
      </w:r>
      <w:r w:rsidR="00C915FC">
        <w:rPr>
          <w:lang w:val="fr-FR" w:eastAsia="fr-BE"/>
        </w:rPr>
        <w:t>,</w:t>
      </w:r>
      <w:r w:rsidRPr="008C4F63">
        <w:rPr>
          <w:lang w:val="fr-FR" w:eastAsia="fr-BE"/>
        </w:rPr>
        <w:t xml:space="preserve"> à l’occasion du rapportage des demandes de paiement</w:t>
      </w:r>
      <w:r w:rsidR="00C915FC">
        <w:rPr>
          <w:lang w:val="fr-FR" w:eastAsia="fr-BE"/>
        </w:rPr>
        <w:t>,</w:t>
      </w:r>
      <w:r w:rsidRPr="008C4F63">
        <w:rPr>
          <w:lang w:val="fr-FR" w:eastAsia="fr-BE"/>
        </w:rPr>
        <w:t xml:space="preserve"> l’analyse de risque, le plan d’action et les pièces justificatives.</w:t>
      </w:r>
    </w:p>
    <w:p w14:paraId="626E4373" w14:textId="0619E6FB" w:rsidR="00E011FB" w:rsidRPr="00C915FC" w:rsidRDefault="00E011FB" w:rsidP="00C915FC">
      <w:pPr>
        <w:pStyle w:val="Titre3"/>
        <w:numPr>
          <w:ilvl w:val="0"/>
          <w:numId w:val="0"/>
        </w:numPr>
      </w:pPr>
      <w:r w:rsidRPr="00C915FC">
        <w:t>Article 8</w:t>
      </w:r>
      <w:r w:rsidR="00C915FC" w:rsidRPr="00C915FC">
        <w:t xml:space="preserve"> – </w:t>
      </w:r>
      <w:r w:rsidRPr="00C915FC">
        <w:t>Respect du principe « Do No Significant Harm »</w:t>
      </w:r>
    </w:p>
    <w:p w14:paraId="3B1E7AB4" w14:textId="799012F9" w:rsidR="00E011FB" w:rsidRPr="008C4F63" w:rsidRDefault="00E011FB" w:rsidP="008170D8">
      <w:pPr>
        <w:rPr>
          <w:lang w:val="fr-FR" w:eastAsia="fr-BE"/>
        </w:rPr>
      </w:pPr>
      <w:r w:rsidRPr="008C4F63">
        <w:rPr>
          <w:lang w:val="fr-FR" w:eastAsia="fr-BE"/>
        </w:rPr>
        <w:t>§ 1. Le règlement établissant une facilité pour la reprise et la résilience (</w:t>
      </w:r>
      <w:r w:rsidR="001869F2">
        <w:rPr>
          <w:lang w:val="fr-FR" w:eastAsia="fr-BE"/>
        </w:rPr>
        <w:t>F</w:t>
      </w:r>
      <w:r w:rsidRPr="008C4F63">
        <w:rPr>
          <w:lang w:val="fr-FR" w:eastAsia="fr-BE"/>
        </w:rPr>
        <w:t>RR) prévoit qu'aucune mesure incluse dans un plan pour la reprise et la résilience (PRR) ne doit causer de préjudice important pour les objectifs environnementaux énumérés à l'article 17 du règlement sur la taxonomie, tels que listés ci-après :</w:t>
      </w:r>
    </w:p>
    <w:p w14:paraId="1B5622C2" w14:textId="2734C814" w:rsidR="00E011FB" w:rsidRPr="008C4F63" w:rsidRDefault="00C915FC" w:rsidP="008170D8">
      <w:pPr>
        <w:pStyle w:val="Bullet1"/>
        <w:rPr>
          <w:lang w:eastAsia="fr-BE"/>
        </w:rPr>
      </w:pPr>
      <w:r>
        <w:rPr>
          <w:lang w:eastAsia="fr-BE"/>
        </w:rPr>
        <w:t>a</w:t>
      </w:r>
      <w:r w:rsidR="00E011FB" w:rsidRPr="008C4F63">
        <w:rPr>
          <w:lang w:eastAsia="fr-BE"/>
        </w:rPr>
        <w:t>tténuation du changement climatique ;</w:t>
      </w:r>
    </w:p>
    <w:p w14:paraId="52803E5F" w14:textId="2EEC7737" w:rsidR="00E011FB" w:rsidRPr="00713273" w:rsidRDefault="00C915FC" w:rsidP="008170D8">
      <w:pPr>
        <w:pStyle w:val="Bullet1"/>
        <w:rPr>
          <w:lang w:eastAsia="fr-BE"/>
        </w:rPr>
      </w:pPr>
      <w:r>
        <w:rPr>
          <w:lang w:eastAsia="fr-BE"/>
        </w:rPr>
        <w:t>a</w:t>
      </w:r>
      <w:r w:rsidR="00E011FB" w:rsidRPr="00713273">
        <w:rPr>
          <w:lang w:eastAsia="fr-BE"/>
        </w:rPr>
        <w:t>daptation au changement climatique ;</w:t>
      </w:r>
    </w:p>
    <w:p w14:paraId="1CE5B0CF" w14:textId="40A64B8D" w:rsidR="00E011FB" w:rsidRPr="00713273" w:rsidRDefault="00C915FC" w:rsidP="008170D8">
      <w:pPr>
        <w:pStyle w:val="Bullet1"/>
        <w:rPr>
          <w:lang w:eastAsia="fr-BE"/>
        </w:rPr>
      </w:pPr>
      <w:r>
        <w:rPr>
          <w:lang w:val="fr-BE"/>
        </w:rPr>
        <w:t>u</w:t>
      </w:r>
      <w:r w:rsidR="00E011FB" w:rsidRPr="00240282">
        <w:rPr>
          <w:lang w:val="fr-BE"/>
        </w:rPr>
        <w:t>tilisation durable et la protection des ressources en eau et des ressources marines ;</w:t>
      </w:r>
    </w:p>
    <w:p w14:paraId="32BCB710" w14:textId="46AD4081" w:rsidR="00E011FB" w:rsidRPr="00713273" w:rsidRDefault="00C915FC" w:rsidP="008170D8">
      <w:pPr>
        <w:pStyle w:val="Bullet1"/>
        <w:rPr>
          <w:lang w:eastAsia="fr-BE"/>
        </w:rPr>
      </w:pPr>
      <w:r>
        <w:rPr>
          <w:lang w:val="fr-BE"/>
        </w:rPr>
        <w:t>t</w:t>
      </w:r>
      <w:r w:rsidR="00E011FB" w:rsidRPr="00240282">
        <w:rPr>
          <w:lang w:val="fr-BE"/>
        </w:rPr>
        <w:t>ransition vers une économie circulaire, y compris la prévention et le recyclage des déchets ;</w:t>
      </w:r>
    </w:p>
    <w:p w14:paraId="0CC7ADB1" w14:textId="7F907E5C" w:rsidR="00E011FB" w:rsidRPr="00713273" w:rsidRDefault="00C915FC" w:rsidP="008170D8">
      <w:pPr>
        <w:pStyle w:val="Bullet1"/>
        <w:rPr>
          <w:lang w:eastAsia="fr-BE"/>
        </w:rPr>
      </w:pPr>
      <w:r>
        <w:rPr>
          <w:lang w:val="fr-BE"/>
        </w:rPr>
        <w:t>p</w:t>
      </w:r>
      <w:r w:rsidR="00E011FB" w:rsidRPr="00240282">
        <w:rPr>
          <w:lang w:val="fr-BE"/>
        </w:rPr>
        <w:t>révention et contrôle de la pollution ;</w:t>
      </w:r>
    </w:p>
    <w:p w14:paraId="635F20B6" w14:textId="654C8608" w:rsidR="00E011FB" w:rsidRPr="00713273" w:rsidRDefault="00C915FC" w:rsidP="008170D8">
      <w:pPr>
        <w:pStyle w:val="Bullet1"/>
        <w:rPr>
          <w:lang w:eastAsia="fr-BE"/>
        </w:rPr>
      </w:pPr>
      <w:r>
        <w:rPr>
          <w:lang w:val="fr-BE"/>
        </w:rPr>
        <w:t>p</w:t>
      </w:r>
      <w:r w:rsidR="00E011FB" w:rsidRPr="00240282">
        <w:rPr>
          <w:lang w:val="fr-BE"/>
        </w:rPr>
        <w:t>rotection et la restauration de la biodiversité et des écosystèmes.</w:t>
      </w:r>
    </w:p>
    <w:p w14:paraId="10F925C9" w14:textId="43BECF6D" w:rsidR="00E011FB" w:rsidRPr="00713273" w:rsidRDefault="00E011FB" w:rsidP="008170D8">
      <w:pPr>
        <w:rPr>
          <w:rFonts w:eastAsia="Times New Roman"/>
          <w:lang w:val="fr-FR" w:eastAsia="fr-BE"/>
        </w:rPr>
      </w:pPr>
      <w:r w:rsidRPr="00240282">
        <w:t xml:space="preserve">§ 2. Le respect du principe DNSH </w:t>
      </w:r>
      <w:r w:rsidR="001869F2">
        <w:t xml:space="preserve">(principe </w:t>
      </w:r>
      <w:r w:rsidR="001869F2" w:rsidRPr="00C915FC">
        <w:t xml:space="preserve">« Do No </w:t>
      </w:r>
      <w:proofErr w:type="spellStart"/>
      <w:r w:rsidR="001869F2" w:rsidRPr="00C915FC">
        <w:t>Significant</w:t>
      </w:r>
      <w:proofErr w:type="spellEnd"/>
      <w:r w:rsidR="001869F2" w:rsidRPr="00C915FC">
        <w:t xml:space="preserve"> </w:t>
      </w:r>
      <w:proofErr w:type="spellStart"/>
      <w:r w:rsidR="001869F2" w:rsidRPr="00C915FC">
        <w:t>Harm</w:t>
      </w:r>
      <w:proofErr w:type="spellEnd"/>
      <w:r w:rsidR="001869F2" w:rsidRPr="00C915FC">
        <w:t> »</w:t>
      </w:r>
      <w:r w:rsidR="001869F2">
        <w:t xml:space="preserve">) </w:t>
      </w:r>
      <w:r w:rsidRPr="00240282">
        <w:t xml:space="preserve">est un principe horizontal du </w:t>
      </w:r>
      <w:r w:rsidR="001869F2">
        <w:t>F</w:t>
      </w:r>
      <w:r w:rsidRPr="00240282">
        <w:t xml:space="preserve">RR. À ce titre, le projet doit s’y conformer. Tout manquement à cette obligation peut entraîner une suspension temporaire voire une réduction définitive de l’enveloppe financière allouée à la </w:t>
      </w:r>
      <w:r w:rsidRPr="00240282">
        <w:lastRenderedPageBreak/>
        <w:t xml:space="preserve">Belgique. </w:t>
      </w:r>
      <w:r>
        <w:t>Cette réduction sera ensuite déduite proportionnellement du montant de la subvention accordée au contractant et, le cas échéant, donnera lieu à un re</w:t>
      </w:r>
      <w:r w:rsidR="00C915FC">
        <w:t>c</w:t>
      </w:r>
      <w:r>
        <w:t xml:space="preserve">ouvrement. </w:t>
      </w:r>
      <w:r w:rsidRPr="00240282">
        <w:t>C’est pourquoi le respect de ce principe doit faire l’objet d’une attention particulière de la part du demandeur</w:t>
      </w:r>
      <w:r>
        <w:t xml:space="preserve"> pendant toute la durée du projet</w:t>
      </w:r>
      <w:r w:rsidRPr="00240282">
        <w:t>, et fera l’objet à la fois d’un contrôle interne et d’un contrôle de la part de la Commission européenne.</w:t>
      </w:r>
    </w:p>
    <w:p w14:paraId="76F3418C" w14:textId="4DD54FE0" w:rsidR="00E011FB" w:rsidRPr="00C915FC" w:rsidRDefault="00E011FB" w:rsidP="00C915FC">
      <w:pPr>
        <w:pStyle w:val="Titre3"/>
        <w:numPr>
          <w:ilvl w:val="0"/>
          <w:numId w:val="0"/>
        </w:numPr>
      </w:pPr>
      <w:r w:rsidRPr="00C915FC">
        <w:t>Article 9</w:t>
      </w:r>
      <w:r w:rsidR="00C915FC" w:rsidRPr="00C915FC">
        <w:t xml:space="preserve"> – </w:t>
      </w:r>
      <w:r w:rsidRPr="00C915FC">
        <w:t>Communication</w:t>
      </w:r>
    </w:p>
    <w:p w14:paraId="79BED0EC" w14:textId="4CD6EB76" w:rsidR="00E011FB" w:rsidRPr="00386309" w:rsidRDefault="00E011FB" w:rsidP="008170D8">
      <w:pPr>
        <w:rPr>
          <w:lang w:val="fr-FR" w:eastAsia="fr-BE"/>
        </w:rPr>
      </w:pPr>
      <w:r w:rsidRPr="00386309">
        <w:rPr>
          <w:lang w:val="fr-FR" w:eastAsia="fr-BE"/>
        </w:rPr>
        <w:t>§ 1. Le règlement (UE) 241/2021 prévoit en son article 34, paragraphe 2, que</w:t>
      </w:r>
      <w:r w:rsidR="00F44BD5">
        <w:rPr>
          <w:lang w:val="fr-FR" w:eastAsia="fr-BE"/>
        </w:rPr>
        <w:t> </w:t>
      </w:r>
      <w:r w:rsidRPr="00386309">
        <w:rPr>
          <w:lang w:val="fr-FR" w:eastAsia="fr-BE"/>
        </w:rPr>
        <w:t>:</w:t>
      </w:r>
    </w:p>
    <w:p w14:paraId="2861E998" w14:textId="21120F05" w:rsidR="00E011FB" w:rsidRPr="00386309" w:rsidRDefault="00E011FB" w:rsidP="008170D8">
      <w:pPr>
        <w:rPr>
          <w:lang w:val="fr-FR" w:eastAsia="fr-BE"/>
        </w:rPr>
      </w:pPr>
      <w:r w:rsidRPr="00386309">
        <w:rPr>
          <w:lang w:val="fr-FR" w:eastAsia="fr-BE"/>
        </w:rPr>
        <w:t>«</w:t>
      </w:r>
      <w:r w:rsidR="00F44BD5">
        <w:rPr>
          <w:lang w:val="fr-FR" w:eastAsia="fr-BE"/>
        </w:rPr>
        <w:t> </w:t>
      </w:r>
      <w:r w:rsidRPr="00386309">
        <w:rPr>
          <w:lang w:val="fr-FR" w:eastAsia="fr-BE"/>
        </w:rPr>
        <w:t xml:space="preserve">Les destinataires d'un financement de l'Union font état de l'origine des fonds et assurent la visibilité du financement de l'Union, y compris, le cas échéant, par l'apposition de l'emblème de l'Union et d'une mention adéquate relative au financement portant les mots "financé par l'Union européenne – </w:t>
      </w:r>
      <w:proofErr w:type="spellStart"/>
      <w:r w:rsidRPr="00386309">
        <w:rPr>
          <w:lang w:val="fr-FR" w:eastAsia="fr-BE"/>
        </w:rPr>
        <w:t>NextGenerationEU</w:t>
      </w:r>
      <w:proofErr w:type="spellEnd"/>
      <w:r w:rsidRPr="00386309">
        <w:rPr>
          <w:lang w:val="fr-FR" w:eastAsia="fr-BE"/>
        </w:rPr>
        <w:t>", en particulier lorsqu'il s'agit de promouvoir les actions et leurs résultats, en fournissant des informations ciblées, cohérentes, efficaces et proportionnées à divers publics, notamment aux médias et au grand public.</w:t>
      </w:r>
      <w:r w:rsidR="00F44BD5">
        <w:rPr>
          <w:lang w:val="fr-FR" w:eastAsia="fr-BE"/>
        </w:rPr>
        <w:t> </w:t>
      </w:r>
      <w:r w:rsidRPr="00386309">
        <w:rPr>
          <w:lang w:val="fr-FR" w:eastAsia="fr-BE"/>
        </w:rPr>
        <w:t>»</w:t>
      </w:r>
    </w:p>
    <w:p w14:paraId="11817087" w14:textId="49DF59A9" w:rsidR="00E011FB" w:rsidRPr="00386309" w:rsidRDefault="00E011FB" w:rsidP="008170D8">
      <w:pPr>
        <w:rPr>
          <w:lang w:val="fr-FR" w:eastAsia="fr-BE"/>
        </w:rPr>
      </w:pPr>
      <w:r w:rsidRPr="00386309">
        <w:rPr>
          <w:lang w:val="fr-FR" w:eastAsia="fr-BE"/>
        </w:rPr>
        <w:t>§ 2. En application du § 1</w:t>
      </w:r>
      <w:r w:rsidR="00F44BD5">
        <w:rPr>
          <w:lang w:val="fr-FR" w:eastAsia="fr-BE"/>
        </w:rPr>
        <w:t>, l</w:t>
      </w:r>
      <w:r w:rsidRPr="00386309">
        <w:rPr>
          <w:lang w:val="fr-FR" w:eastAsia="fr-BE"/>
        </w:rPr>
        <w:t>e demandeur est tenu :</w:t>
      </w:r>
    </w:p>
    <w:p w14:paraId="2DC69F6B" w14:textId="27A29E98" w:rsidR="00E011FB" w:rsidRPr="00386309" w:rsidRDefault="00F44BD5" w:rsidP="00F44BD5">
      <w:pPr>
        <w:pStyle w:val="Bullet1"/>
        <w:jc w:val="left"/>
        <w:rPr>
          <w:lang w:eastAsia="fr-BE"/>
        </w:rPr>
      </w:pPr>
      <w:r>
        <w:rPr>
          <w:lang w:eastAsia="fr-BE"/>
        </w:rPr>
        <w:t>de m</w:t>
      </w:r>
      <w:r w:rsidR="00E011FB" w:rsidRPr="00386309">
        <w:rPr>
          <w:lang w:eastAsia="fr-BE"/>
        </w:rPr>
        <w:t xml:space="preserve">entionner le soutien </w:t>
      </w:r>
      <w:r w:rsidR="001869F2">
        <w:rPr>
          <w:lang w:eastAsia="fr-BE"/>
        </w:rPr>
        <w:t>à la</w:t>
      </w:r>
      <w:r w:rsidR="001869F2" w:rsidRPr="001869F2">
        <w:t xml:space="preserve"> </w:t>
      </w:r>
      <w:r w:rsidR="001869F2" w:rsidRPr="001869F2">
        <w:rPr>
          <w:lang w:eastAsia="fr-BE"/>
        </w:rPr>
        <w:t>facilité pour la reprise et la résilience</w:t>
      </w:r>
      <w:r w:rsidR="00E011FB" w:rsidRPr="00386309">
        <w:rPr>
          <w:lang w:eastAsia="fr-BE"/>
        </w:rPr>
        <w:t xml:space="preserve"> </w:t>
      </w:r>
      <w:r w:rsidR="001869F2">
        <w:rPr>
          <w:lang w:eastAsia="fr-BE"/>
        </w:rPr>
        <w:t>(F</w:t>
      </w:r>
      <w:r w:rsidR="00E011FB" w:rsidRPr="00386309">
        <w:rPr>
          <w:lang w:eastAsia="fr-BE"/>
        </w:rPr>
        <w:t>RR</w:t>
      </w:r>
      <w:r w:rsidR="001869F2">
        <w:rPr>
          <w:lang w:eastAsia="fr-BE"/>
        </w:rPr>
        <w:t>)</w:t>
      </w:r>
      <w:r w:rsidR="00E011FB" w:rsidRPr="00386309">
        <w:rPr>
          <w:lang w:eastAsia="fr-BE"/>
        </w:rPr>
        <w:t xml:space="preserve"> lors de toute action de communication et d’information, en affichant l’emblème de l’UE et en faisant référence à l’UE et au </w:t>
      </w:r>
      <w:r w:rsidR="001869F2">
        <w:rPr>
          <w:lang w:eastAsia="fr-BE"/>
        </w:rPr>
        <w:t>F</w:t>
      </w:r>
      <w:r w:rsidR="00E011FB" w:rsidRPr="00386309">
        <w:rPr>
          <w:lang w:eastAsia="fr-BE"/>
        </w:rPr>
        <w:t>RR</w:t>
      </w:r>
      <w:r>
        <w:rPr>
          <w:lang w:eastAsia="fr-BE"/>
        </w:rPr>
        <w:t> </w:t>
      </w:r>
      <w:r w:rsidR="00E011FB" w:rsidRPr="00386309">
        <w:rPr>
          <w:lang w:eastAsia="fr-BE"/>
        </w:rPr>
        <w:t>:</w:t>
      </w:r>
      <w:r>
        <w:rPr>
          <w:lang w:eastAsia="fr-BE"/>
        </w:rPr>
        <w:br/>
      </w:r>
      <w:hyperlink r:id="rId13" w:history="1">
        <w:r w:rsidRPr="009436DB">
          <w:rPr>
            <w:rStyle w:val="Lienhypertexte"/>
            <w:lang w:eastAsia="fr-BE"/>
          </w:rPr>
          <w:t>https://ec.europa.eu/regional_policy/en/information/logos_downloadcenter/</w:t>
        </w:r>
      </w:hyperlink>
      <w:r>
        <w:rPr>
          <w:lang w:eastAsia="fr-BE"/>
        </w:rPr>
        <w:t> </w:t>
      </w:r>
      <w:r w:rsidR="00E011FB" w:rsidRPr="00386309">
        <w:rPr>
          <w:lang w:eastAsia="fr-BE"/>
        </w:rPr>
        <w:t>;</w:t>
      </w:r>
    </w:p>
    <w:p w14:paraId="37DEA470" w14:textId="4D26FF8E" w:rsidR="00E011FB" w:rsidRPr="00386309" w:rsidRDefault="00F44BD5" w:rsidP="008170D8">
      <w:pPr>
        <w:pStyle w:val="Bullet1"/>
        <w:rPr>
          <w:lang w:eastAsia="fr-BE"/>
        </w:rPr>
      </w:pPr>
      <w:r>
        <w:rPr>
          <w:lang w:eastAsia="fr-BE"/>
        </w:rPr>
        <w:t>d’i</w:t>
      </w:r>
      <w:r w:rsidR="00E011FB" w:rsidRPr="00386309">
        <w:rPr>
          <w:lang w:eastAsia="fr-BE"/>
        </w:rPr>
        <w:t xml:space="preserve">nformer les participants aux projets de l’origine du financement </w:t>
      </w:r>
      <w:r w:rsidR="001869F2">
        <w:rPr>
          <w:lang w:eastAsia="fr-BE"/>
        </w:rPr>
        <w:t>F</w:t>
      </w:r>
      <w:r w:rsidR="00E011FB" w:rsidRPr="00386309">
        <w:rPr>
          <w:lang w:eastAsia="fr-BE"/>
        </w:rPr>
        <w:t>RR</w:t>
      </w:r>
      <w:r>
        <w:rPr>
          <w:lang w:eastAsia="fr-BE"/>
        </w:rPr>
        <w:t> </w:t>
      </w:r>
      <w:r w:rsidR="00E011FB" w:rsidRPr="00386309">
        <w:rPr>
          <w:lang w:eastAsia="fr-BE"/>
        </w:rPr>
        <w:t>;</w:t>
      </w:r>
    </w:p>
    <w:p w14:paraId="73572AFC" w14:textId="28B73F56" w:rsidR="00E011FB" w:rsidRPr="00386309" w:rsidRDefault="00F44BD5" w:rsidP="008170D8">
      <w:pPr>
        <w:pStyle w:val="Bullet1"/>
        <w:rPr>
          <w:lang w:eastAsia="fr-BE"/>
        </w:rPr>
      </w:pPr>
      <w:r>
        <w:rPr>
          <w:lang w:eastAsia="fr-BE"/>
        </w:rPr>
        <w:t>d’a</w:t>
      </w:r>
      <w:r w:rsidR="00E011FB" w:rsidRPr="00386309">
        <w:rPr>
          <w:lang w:eastAsia="fr-BE"/>
        </w:rPr>
        <w:t xml:space="preserve">fficher un panneau d’affichage ou une plaque permanente pour les opérations de financement d’infrastructures et/ou de constructions financées par le </w:t>
      </w:r>
      <w:r w:rsidR="001869F2">
        <w:rPr>
          <w:lang w:eastAsia="fr-BE"/>
        </w:rPr>
        <w:t>F</w:t>
      </w:r>
      <w:r w:rsidR="00E011FB" w:rsidRPr="00386309">
        <w:rPr>
          <w:lang w:eastAsia="fr-BE"/>
        </w:rPr>
        <w:t>RR.</w:t>
      </w:r>
    </w:p>
    <w:p w14:paraId="2476D944" w14:textId="671476AE" w:rsidR="00E011FB" w:rsidRPr="00C915FC" w:rsidRDefault="00E011FB" w:rsidP="00C915FC">
      <w:pPr>
        <w:pStyle w:val="Titre3"/>
        <w:numPr>
          <w:ilvl w:val="0"/>
          <w:numId w:val="0"/>
        </w:numPr>
      </w:pPr>
      <w:r w:rsidRPr="00C915FC">
        <w:t>Article 10</w:t>
      </w:r>
      <w:r w:rsidR="00C915FC" w:rsidRPr="00C915FC">
        <w:t xml:space="preserve"> – </w:t>
      </w:r>
      <w:r w:rsidRPr="00C915FC">
        <w:t>Respect du régime aide d’état</w:t>
      </w:r>
    </w:p>
    <w:p w14:paraId="7E79CD42" w14:textId="190597FE" w:rsidR="00E011FB" w:rsidRPr="00F44BD5" w:rsidRDefault="00E011FB" w:rsidP="00F44BD5">
      <w:r w:rsidRPr="008014E5">
        <w:t xml:space="preserve">§1. Lorsque l’aide prévue ne bénéficie pas d’une exemption par catégorie dans le cadre du </w:t>
      </w:r>
      <w:r w:rsidR="001869F2" w:rsidRPr="001869F2">
        <w:t>règlement général d'exemption par catégorie</w:t>
      </w:r>
      <w:r w:rsidR="001869F2">
        <w:t xml:space="preserve"> (</w:t>
      </w:r>
      <w:r w:rsidRPr="008014E5">
        <w:t>RGEC</w:t>
      </w:r>
      <w:r w:rsidR="001869F2">
        <w:t>)</w:t>
      </w:r>
      <w:r w:rsidRPr="008014E5">
        <w:t>, la présente convention</w:t>
      </w:r>
      <w:r w:rsidRPr="00F44BD5">
        <w:t xml:space="preserve"> n’entre en vigueur qu’après approbation de l’aide par la Commission </w:t>
      </w:r>
      <w:r w:rsidR="00F44BD5">
        <w:t>e</w:t>
      </w:r>
      <w:r w:rsidRPr="00F44BD5">
        <w:t>uropéenne.</w:t>
      </w:r>
    </w:p>
    <w:p w14:paraId="3E1F6FEE" w14:textId="017E4F1F" w:rsidR="00E011FB" w:rsidRPr="00C915FC" w:rsidRDefault="00E011FB" w:rsidP="00C915FC">
      <w:pPr>
        <w:pStyle w:val="Titre3"/>
        <w:numPr>
          <w:ilvl w:val="0"/>
          <w:numId w:val="0"/>
        </w:numPr>
      </w:pPr>
      <w:r w:rsidRPr="00C915FC">
        <w:t>Article 11</w:t>
      </w:r>
      <w:r w:rsidR="00C915FC" w:rsidRPr="00C915FC">
        <w:t xml:space="preserve"> – </w:t>
      </w:r>
      <w:r w:rsidRPr="00C915FC">
        <w:t>Règlement des différends</w:t>
      </w:r>
    </w:p>
    <w:p w14:paraId="7AE342CC" w14:textId="7565122B" w:rsidR="00E011FB" w:rsidRPr="00386309" w:rsidRDefault="00E011FB" w:rsidP="008170D8">
      <w:pPr>
        <w:rPr>
          <w:lang w:val="fr-FR" w:eastAsia="fr-BE"/>
        </w:rPr>
      </w:pPr>
      <w:r w:rsidRPr="00386309">
        <w:rPr>
          <w:lang w:val="fr-FR" w:eastAsia="fr-BE"/>
        </w:rPr>
        <w:t xml:space="preserve">Les Parties s’efforcent de régler à l’amiable toute divergence d’interprétation et/ou d’interprétation du présent </w:t>
      </w:r>
      <w:r w:rsidR="001869F2">
        <w:rPr>
          <w:lang w:val="fr-FR" w:eastAsia="fr-BE"/>
        </w:rPr>
        <w:t>p</w:t>
      </w:r>
      <w:r w:rsidRPr="00386309">
        <w:rPr>
          <w:lang w:val="fr-FR" w:eastAsia="fr-BE"/>
        </w:rPr>
        <w:t xml:space="preserve">rotocole. Un différend entre les Parties découlant du présent </w:t>
      </w:r>
      <w:r w:rsidR="001869F2">
        <w:rPr>
          <w:lang w:val="fr-FR" w:eastAsia="fr-BE"/>
        </w:rPr>
        <w:t>p</w:t>
      </w:r>
      <w:r w:rsidRPr="00386309">
        <w:rPr>
          <w:lang w:val="fr-FR" w:eastAsia="fr-BE"/>
        </w:rPr>
        <w:t xml:space="preserve">rotocole, et qui ne peut être résolu à l’amiable, relève de la compétence exclusive des tribunaux belges. </w:t>
      </w:r>
    </w:p>
    <w:p w14:paraId="3B609284" w14:textId="0A9996FF" w:rsidR="00E011FB" w:rsidRPr="00386309" w:rsidRDefault="00E011FB" w:rsidP="008170D8">
      <w:pPr>
        <w:rPr>
          <w:lang w:val="fr-FR"/>
        </w:rPr>
      </w:pPr>
      <w:r w:rsidRPr="00386309">
        <w:rPr>
          <w:lang w:val="fr-FR"/>
        </w:rPr>
        <w:t xml:space="preserve">Fait à </w:t>
      </w:r>
      <w:r w:rsidRPr="00386309">
        <w:rPr>
          <w:highlight w:val="yellow"/>
          <w:lang w:val="fr-FR"/>
        </w:rPr>
        <w:t>…………………………………………….</w:t>
      </w:r>
      <w:r w:rsidR="00B71CCD">
        <w:rPr>
          <w:lang w:val="fr-FR"/>
        </w:rPr>
        <w:t xml:space="preserve">, </w:t>
      </w:r>
      <w:r w:rsidRPr="00386309">
        <w:rPr>
          <w:lang w:val="fr-FR"/>
        </w:rPr>
        <w:t xml:space="preserve">le </w:t>
      </w:r>
      <w:r w:rsidRPr="00386309">
        <w:rPr>
          <w:highlight w:val="yellow"/>
          <w:lang w:val="fr-FR"/>
        </w:rPr>
        <w:t>**</w:t>
      </w:r>
      <w:r w:rsidR="00F44BD5">
        <w:rPr>
          <w:highlight w:val="yellow"/>
          <w:lang w:val="fr-FR"/>
        </w:rPr>
        <w:t>.</w:t>
      </w:r>
      <w:r w:rsidRPr="00386309">
        <w:rPr>
          <w:highlight w:val="yellow"/>
          <w:lang w:val="fr-FR"/>
        </w:rPr>
        <w:t>**</w:t>
      </w:r>
      <w:r w:rsidR="00F44BD5">
        <w:rPr>
          <w:highlight w:val="yellow"/>
          <w:lang w:val="fr-FR"/>
        </w:rPr>
        <w:t>.</w:t>
      </w:r>
      <w:r w:rsidRPr="00386309">
        <w:rPr>
          <w:highlight w:val="yellow"/>
          <w:lang w:val="fr-FR"/>
        </w:rPr>
        <w:t>202</w:t>
      </w:r>
      <w:r>
        <w:rPr>
          <w:lang w:val="fr-FR"/>
        </w:rPr>
        <w:t>2</w:t>
      </w:r>
      <w:r w:rsidRPr="00386309">
        <w:rPr>
          <w:lang w:val="fr-FR"/>
        </w:rPr>
        <w:t xml:space="preserve"> en deux exemplaires. </w:t>
      </w:r>
    </w:p>
    <w:p w14:paraId="02E19385" w14:textId="77777777" w:rsidR="00E011FB" w:rsidRPr="00386309" w:rsidRDefault="00E011FB" w:rsidP="008170D8">
      <w:pPr>
        <w:rPr>
          <w:lang w:val="fr-FR"/>
        </w:rPr>
      </w:pPr>
    </w:p>
    <w:p w14:paraId="22E50652" w14:textId="77777777" w:rsidR="00E011FB" w:rsidRPr="00386309" w:rsidRDefault="00E011FB" w:rsidP="008170D8">
      <w:pPr>
        <w:rPr>
          <w:lang w:val="fr-FR"/>
        </w:rPr>
      </w:pPr>
    </w:p>
    <w:p w14:paraId="473049B0" w14:textId="77777777" w:rsidR="00E011FB" w:rsidRPr="00386309" w:rsidRDefault="00E011FB" w:rsidP="008170D8">
      <w:pPr>
        <w:rPr>
          <w:lang w:val="fr-FR"/>
        </w:rPr>
      </w:pPr>
    </w:p>
    <w:p w14:paraId="2287C3E0" w14:textId="77777777" w:rsidR="00E011FB" w:rsidRPr="00386309" w:rsidRDefault="00E011FB" w:rsidP="008170D8">
      <w:pPr>
        <w:rPr>
          <w:lang w:val="fr-FR"/>
        </w:rPr>
      </w:pPr>
      <w:r w:rsidRPr="00386309">
        <w:rPr>
          <w:lang w:val="fr-FR"/>
        </w:rPr>
        <w:t xml:space="preserve">Le demandeur </w:t>
      </w:r>
    </w:p>
    <w:p w14:paraId="4D72212C" w14:textId="77777777" w:rsidR="00E011FB" w:rsidRPr="00386309" w:rsidRDefault="00E011FB" w:rsidP="008170D8">
      <w:pPr>
        <w:rPr>
          <w:lang w:val="fr-FR"/>
        </w:rPr>
      </w:pPr>
    </w:p>
    <w:p w14:paraId="2E6F62B0" w14:textId="77777777" w:rsidR="00E011FB" w:rsidRPr="00386309" w:rsidRDefault="00E011FB" w:rsidP="008170D8">
      <w:pPr>
        <w:rPr>
          <w:lang w:val="fr-FR"/>
        </w:rPr>
      </w:pPr>
    </w:p>
    <w:p w14:paraId="7B868F9B" w14:textId="0229BB47" w:rsidR="00E011FB" w:rsidRDefault="00E011FB" w:rsidP="008170D8">
      <w:pPr>
        <w:rPr>
          <w:b/>
          <w:bCs/>
          <w:u w:val="single"/>
          <w:lang w:val="fr-FR"/>
        </w:rPr>
      </w:pPr>
      <w:r w:rsidRPr="00386309">
        <w:rPr>
          <w:lang w:val="fr-FR"/>
        </w:rPr>
        <w:t>L’État</w:t>
      </w:r>
    </w:p>
    <w:p w14:paraId="1560BDDD" w14:textId="77777777" w:rsidR="00E011FB" w:rsidRPr="00386309" w:rsidRDefault="00E011FB" w:rsidP="00E011FB">
      <w:pPr>
        <w:rPr>
          <w:rFonts w:asciiTheme="majorHAnsi" w:hAnsiTheme="majorHAnsi" w:cstheme="majorHAnsi"/>
          <w:b/>
          <w:bCs/>
          <w:u w:val="single"/>
          <w:lang w:val="fr-FR"/>
        </w:rPr>
      </w:pPr>
    </w:p>
    <w:p w14:paraId="026CB4A3" w14:textId="77777777" w:rsidR="00E011FB" w:rsidRDefault="00E011FB" w:rsidP="00E011FB"/>
    <w:p w14:paraId="4CD301B4" w14:textId="77777777" w:rsidR="00E011FB" w:rsidRPr="00E90351" w:rsidRDefault="00E011FB" w:rsidP="00E011FB"/>
    <w:sectPr w:rsidR="00E011FB" w:rsidRPr="00E90351" w:rsidSect="00DB0FA2">
      <w:headerReference w:type="default" r:id="rId14"/>
      <w:footerReference w:type="default" r:id="rId15"/>
      <w:footerReference w:type="first" r:id="rId16"/>
      <w:pgSz w:w="11906" w:h="16838" w:code="9"/>
      <w:pgMar w:top="1418" w:right="1701" w:bottom="1134" w:left="1701" w:header="567" w:footer="7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A43D2" w14:textId="77777777" w:rsidR="00E011FB" w:rsidRDefault="00E011FB" w:rsidP="00DB0FA2">
      <w:r>
        <w:separator/>
      </w:r>
    </w:p>
    <w:p w14:paraId="3F788B28" w14:textId="77777777" w:rsidR="00E011FB" w:rsidRDefault="00E011FB" w:rsidP="00DB0FA2"/>
    <w:p w14:paraId="0E7F5C65" w14:textId="77777777" w:rsidR="00E011FB" w:rsidRDefault="00E011FB" w:rsidP="00DB0FA2"/>
    <w:p w14:paraId="47084085" w14:textId="77777777" w:rsidR="00E011FB" w:rsidRDefault="00E011FB" w:rsidP="00DB0FA2"/>
  </w:endnote>
  <w:endnote w:type="continuationSeparator" w:id="0">
    <w:p w14:paraId="6F32260A" w14:textId="77777777" w:rsidR="00E011FB" w:rsidRDefault="00E011FB" w:rsidP="00DB0FA2">
      <w:r>
        <w:continuationSeparator/>
      </w:r>
    </w:p>
    <w:p w14:paraId="71EA39FA" w14:textId="77777777" w:rsidR="00E011FB" w:rsidRDefault="00E011FB" w:rsidP="00DB0FA2"/>
    <w:p w14:paraId="41BF1ED6" w14:textId="77777777" w:rsidR="00E011FB" w:rsidRDefault="00E011FB" w:rsidP="00DB0FA2"/>
    <w:p w14:paraId="5C0ECAB0" w14:textId="77777777" w:rsidR="00E011FB" w:rsidRDefault="00E011FB" w:rsidP="00DB0F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Light">
    <w:panose1 w:val="020F0502020204030203"/>
    <w:charset w:val="00"/>
    <w:family w:val="swiss"/>
    <w:pitch w:val="variable"/>
    <w:sig w:usb0="E10002FF" w:usb1="5000ECFF" w:usb2="00000021" w:usb3="00000000" w:csb0="0000019F" w:csb1="00000000"/>
  </w:font>
  <w:font w:name="DINPro-Regular">
    <w:altName w:val="Calibri"/>
    <w:panose1 w:val="00000000000000000000"/>
    <w:charset w:val="00"/>
    <w:family w:val="modern"/>
    <w:notTrueType/>
    <w:pitch w:val="variable"/>
    <w:sig w:usb0="800002AF" w:usb1="4000206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8341735"/>
      <w:docPartObj>
        <w:docPartGallery w:val="Page Numbers (Bottom of Page)"/>
        <w:docPartUnique/>
      </w:docPartObj>
    </w:sdtPr>
    <w:sdtEndPr/>
    <w:sdtContent>
      <w:sdt>
        <w:sdtPr>
          <w:id w:val="-1705238520"/>
          <w:docPartObj>
            <w:docPartGallery w:val="Page Numbers (Top of Page)"/>
            <w:docPartUnique/>
          </w:docPartObj>
        </w:sdtPr>
        <w:sdtEndPr/>
        <w:sdtContent>
          <w:p w14:paraId="14F840D8" w14:textId="4CAF4B8B" w:rsidR="00F50C01" w:rsidRDefault="00F50C01" w:rsidP="00F50C01">
            <w:pPr>
              <w:pStyle w:val="Pieddepage"/>
            </w:pPr>
            <w:r>
              <w:rPr>
                <w:lang w:val="fr-FR"/>
              </w:rPr>
              <w:t xml:space="preserve">Page </w:t>
            </w:r>
            <w:r>
              <w:rPr>
                <w:b/>
                <w:bCs/>
                <w:sz w:val="24"/>
                <w:szCs w:val="24"/>
              </w:rPr>
              <w:fldChar w:fldCharType="begin"/>
            </w:r>
            <w:r>
              <w:rPr>
                <w:b/>
                <w:bCs/>
              </w:rPr>
              <w:instrText>PAGE</w:instrText>
            </w:r>
            <w:r>
              <w:rPr>
                <w:b/>
                <w:bCs/>
                <w:sz w:val="24"/>
                <w:szCs w:val="24"/>
              </w:rPr>
              <w:fldChar w:fldCharType="separate"/>
            </w:r>
            <w:r>
              <w:rPr>
                <w:b/>
                <w:bCs/>
                <w:lang w:val="fr-FR"/>
              </w:rPr>
              <w:t>2</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Pr>
                <w:b/>
                <w:bCs/>
                <w:lang w:val="fr-FR"/>
              </w:rPr>
              <w:t>2</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64A83" w14:textId="77777777" w:rsidR="00702E56" w:rsidRPr="00702E56" w:rsidRDefault="00371E6E" w:rsidP="00DB0FA2">
    <w:pPr>
      <w:pStyle w:val="Pieddepage"/>
      <w:rPr>
        <w:noProof/>
      </w:rPr>
    </w:pPr>
    <w:r>
      <w:rPr>
        <w:noProof/>
        <w:lang w:eastAsia="fr-BE"/>
      </w:rPr>
      <mc:AlternateContent>
        <mc:Choice Requires="wps">
          <w:drawing>
            <wp:anchor distT="0" distB="0" distL="114300" distR="114300" simplePos="0" relativeHeight="251661312" behindDoc="0" locked="0" layoutInCell="1" allowOverlap="1" wp14:anchorId="71406848" wp14:editId="4EED75A9">
              <wp:simplePos x="0" y="0"/>
              <wp:positionH relativeFrom="column">
                <wp:posOffset>2520315</wp:posOffset>
              </wp:positionH>
              <wp:positionV relativeFrom="paragraph">
                <wp:posOffset>0</wp:posOffset>
              </wp:positionV>
              <wp:extent cx="360000" cy="0"/>
              <wp:effectExtent l="0" t="0" r="21590" b="19050"/>
              <wp:wrapNone/>
              <wp:docPr id="7" name="Straight Connector 7"/>
              <wp:cNvGraphicFramePr/>
              <a:graphic xmlns:a="http://schemas.openxmlformats.org/drawingml/2006/main">
                <a:graphicData uri="http://schemas.microsoft.com/office/word/2010/wordprocessingShape">
                  <wps:wsp>
                    <wps:cNvCnPr/>
                    <wps:spPr>
                      <a:xfrm>
                        <a:off x="0" y="0"/>
                        <a:ext cx="360000"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2A284A" id="Straight Connector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8.45pt,0" to="22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" strokecolor="red" strokeweight="1pt">
              <v:stroke joinstyle="miter"/>
            </v:line>
          </w:pict>
        </mc:Fallback>
      </mc:AlternateContent>
    </w:r>
    <w:r w:rsidR="00702E56" w:rsidRPr="00702E56">
      <w:fldChar w:fldCharType="begin"/>
    </w:r>
    <w:r w:rsidR="00702E56" w:rsidRPr="00702E56">
      <w:instrText xml:space="preserve"> PAGE   \* MERGEFORMAT </w:instrText>
    </w:r>
    <w:r w:rsidR="00702E56" w:rsidRPr="00702E56">
      <w:fldChar w:fldCharType="separate"/>
    </w:r>
    <w:r w:rsidR="00515FDD">
      <w:rPr>
        <w:noProof/>
      </w:rPr>
      <w:t>3</w:t>
    </w:r>
    <w:r w:rsidR="00702E56" w:rsidRPr="00702E56">
      <w:rPr>
        <w:noProof/>
      </w:rPr>
      <w:fldChar w:fldCharType="end"/>
    </w:r>
  </w:p>
  <w:p w14:paraId="7DB53E7B" w14:textId="77777777" w:rsidR="00C74546" w:rsidRDefault="00C74546" w:rsidP="00DB0FA2"/>
  <w:p w14:paraId="2D2AEC0C" w14:textId="77777777" w:rsidR="005C4E6E" w:rsidRDefault="005C4E6E" w:rsidP="00DB0FA2"/>
  <w:p w14:paraId="62AE5502" w14:textId="77777777" w:rsidR="005C4E6E" w:rsidRDefault="005C4E6E" w:rsidP="00DB0F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AA0A4" w14:textId="77777777" w:rsidR="00E011FB" w:rsidRPr="008E31A2" w:rsidRDefault="00E011FB" w:rsidP="00DB0FA2">
      <w:r w:rsidRPr="008E31A2">
        <w:separator/>
      </w:r>
    </w:p>
  </w:footnote>
  <w:footnote w:type="continuationSeparator" w:id="0">
    <w:p w14:paraId="22FA8CC3" w14:textId="77777777" w:rsidR="00E011FB" w:rsidRPr="008E31A2" w:rsidRDefault="00E011FB" w:rsidP="00DB0FA2">
      <w:r w:rsidRPr="008E31A2">
        <w:continuationSeparator/>
      </w:r>
    </w:p>
    <w:p w14:paraId="00F6EC49" w14:textId="77777777" w:rsidR="00E011FB" w:rsidRDefault="00E011FB" w:rsidP="00DB0FA2"/>
    <w:p w14:paraId="1BD35F06" w14:textId="77777777" w:rsidR="00E011FB" w:rsidRDefault="00E011FB" w:rsidP="00DB0FA2"/>
    <w:p w14:paraId="16F12CFE" w14:textId="77777777" w:rsidR="00E011FB" w:rsidRDefault="00E011FB" w:rsidP="00DB0FA2"/>
  </w:footnote>
  <w:footnote w:type="continuationNotice" w:id="1">
    <w:p w14:paraId="6E537D17" w14:textId="77777777" w:rsidR="00E011FB" w:rsidRDefault="00E011FB" w:rsidP="00DB0FA2"/>
    <w:p w14:paraId="13F2D557" w14:textId="77777777" w:rsidR="00E011FB" w:rsidRDefault="00E011FB" w:rsidP="00DB0FA2"/>
    <w:p w14:paraId="65EF395A" w14:textId="77777777" w:rsidR="00E011FB" w:rsidRDefault="00E011FB" w:rsidP="00DB0FA2"/>
    <w:p w14:paraId="25782E3A" w14:textId="77777777" w:rsidR="00E011FB" w:rsidRDefault="00E011FB" w:rsidP="00DB0F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A88A9" w14:textId="2826DED7" w:rsidR="002E7428" w:rsidRDefault="002E7428" w:rsidP="00515FDD">
    <w:pPr>
      <w:pStyle w:val="En-tte"/>
      <w:tabs>
        <w:tab w:val="clear" w:pos="4680"/>
        <w:tab w:val="clear" w:pos="9360"/>
      </w:tabs>
      <w:ind w:right="-113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pt;height:10.8pt;visibility:visible;mso-wrap-style:square" o:bullet="t">
        <v:imagedata r:id="rId1" o:title=""/>
      </v:shape>
    </w:pict>
  </w:numPicBullet>
  <w:numPicBullet w:numPicBulletId="1">
    <w:pict>
      <v:shape id="_x0000_i1048" type="#_x0000_t75" style="width:29.4pt;height:13.8pt;visibility:visible;mso-wrap-style:square" o:bullet="t">
        <v:imagedata r:id="rId2" o:title=""/>
      </v:shape>
    </w:pict>
  </w:numPicBullet>
  <w:numPicBullet w:numPicBulletId="2">
    <w:pict>
      <v:shape id="_x0000_i1049" type="#_x0000_t75" style="width:29.4pt;height:18.6pt;visibility:visible;mso-wrap-style:square" o:bullet="t">
        <v:imagedata r:id="rId3" o:title=""/>
      </v:shape>
    </w:pict>
  </w:numPicBullet>
  <w:abstractNum w:abstractNumId="0" w15:restartNumberingAfterBreak="0">
    <w:nsid w:val="FFFFFF7C"/>
    <w:multiLevelType w:val="singleLevel"/>
    <w:tmpl w:val="BD38A3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B960B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2C4F0A"/>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D63C72E6"/>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B766676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2BC317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2D64C066"/>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D88A728"/>
    <w:lvl w:ilvl="0">
      <w:start w:val="1"/>
      <w:numFmt w:val="decimal"/>
      <w:pStyle w:val="Listenumros"/>
      <w:lvlText w:val="%1."/>
      <w:lvlJc w:val="left"/>
      <w:pPr>
        <w:tabs>
          <w:tab w:val="num" w:pos="360"/>
        </w:tabs>
        <w:ind w:left="360" w:hanging="360"/>
      </w:pPr>
    </w:lvl>
  </w:abstractNum>
  <w:abstractNum w:abstractNumId="8" w15:restartNumberingAfterBreak="0">
    <w:nsid w:val="FFFFFF89"/>
    <w:multiLevelType w:val="singleLevel"/>
    <w:tmpl w:val="12243B0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9790FBB"/>
    <w:multiLevelType w:val="hybridMultilevel"/>
    <w:tmpl w:val="44E8FF44"/>
    <w:lvl w:ilvl="0" w:tplc="CFCC510A">
      <w:start w:val="5"/>
      <w:numFmt w:val="bullet"/>
      <w:lvlText w:val="-"/>
      <w:lvlJc w:val="left"/>
      <w:pPr>
        <w:ind w:left="720" w:hanging="360"/>
      </w:pPr>
      <w:rPr>
        <w:rFonts w:ascii="Segoe UI" w:eastAsia="Times New Roman" w:hAnsi="Segoe UI" w:cs="Segoe U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09F11FA4"/>
    <w:multiLevelType w:val="hybridMultilevel"/>
    <w:tmpl w:val="D598BE54"/>
    <w:lvl w:ilvl="0" w:tplc="253CB7EE">
      <w:start w:val="1"/>
      <w:numFmt w:val="decimal"/>
      <w:pStyle w:val="Listenumros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2920B8"/>
    <w:multiLevelType w:val="hybridMultilevel"/>
    <w:tmpl w:val="1116F8F8"/>
    <w:lvl w:ilvl="0" w:tplc="1C8A402A">
      <w:start w:val="7"/>
      <w:numFmt w:val="bullet"/>
      <w:lvlText w:val="-"/>
      <w:lvlJc w:val="left"/>
      <w:pPr>
        <w:ind w:left="720" w:hanging="360"/>
      </w:pPr>
      <w:rPr>
        <w:rFonts w:ascii="Calibri Light" w:eastAsia="Times New Roman" w:hAnsi="Calibri Light" w:cs="Calibri Light"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8C16131"/>
    <w:multiLevelType w:val="hybridMultilevel"/>
    <w:tmpl w:val="DDC8E40E"/>
    <w:lvl w:ilvl="0" w:tplc="96F0F8EE">
      <w:start w:val="1"/>
      <w:numFmt w:val="bullet"/>
      <w:pStyle w:val="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90706E"/>
    <w:multiLevelType w:val="hybridMultilevel"/>
    <w:tmpl w:val="0082DE26"/>
    <w:lvl w:ilvl="0" w:tplc="DA380E80">
      <w:start w:val="1"/>
      <w:numFmt w:val="bullet"/>
      <w:lvlText w:val=""/>
      <w:lvlPicBulletId w:val="2"/>
      <w:lvlJc w:val="left"/>
      <w:pPr>
        <w:tabs>
          <w:tab w:val="num" w:pos="720"/>
        </w:tabs>
        <w:ind w:left="720" w:hanging="360"/>
      </w:pPr>
      <w:rPr>
        <w:rFonts w:ascii="Symbol" w:hAnsi="Symbol" w:hint="default"/>
      </w:rPr>
    </w:lvl>
    <w:lvl w:ilvl="1" w:tplc="908813F4" w:tentative="1">
      <w:start w:val="1"/>
      <w:numFmt w:val="bullet"/>
      <w:lvlText w:val=""/>
      <w:lvlJc w:val="left"/>
      <w:pPr>
        <w:tabs>
          <w:tab w:val="num" w:pos="1440"/>
        </w:tabs>
        <w:ind w:left="1440" w:hanging="360"/>
      </w:pPr>
      <w:rPr>
        <w:rFonts w:ascii="Symbol" w:hAnsi="Symbol" w:hint="default"/>
      </w:rPr>
    </w:lvl>
    <w:lvl w:ilvl="2" w:tplc="FA0081B0" w:tentative="1">
      <w:start w:val="1"/>
      <w:numFmt w:val="bullet"/>
      <w:lvlText w:val=""/>
      <w:lvlJc w:val="left"/>
      <w:pPr>
        <w:tabs>
          <w:tab w:val="num" w:pos="2160"/>
        </w:tabs>
        <w:ind w:left="2160" w:hanging="360"/>
      </w:pPr>
      <w:rPr>
        <w:rFonts w:ascii="Symbol" w:hAnsi="Symbol" w:hint="default"/>
      </w:rPr>
    </w:lvl>
    <w:lvl w:ilvl="3" w:tplc="E14EF744" w:tentative="1">
      <w:start w:val="1"/>
      <w:numFmt w:val="bullet"/>
      <w:lvlText w:val=""/>
      <w:lvlJc w:val="left"/>
      <w:pPr>
        <w:tabs>
          <w:tab w:val="num" w:pos="2880"/>
        </w:tabs>
        <w:ind w:left="2880" w:hanging="360"/>
      </w:pPr>
      <w:rPr>
        <w:rFonts w:ascii="Symbol" w:hAnsi="Symbol" w:hint="default"/>
      </w:rPr>
    </w:lvl>
    <w:lvl w:ilvl="4" w:tplc="971C9D04" w:tentative="1">
      <w:start w:val="1"/>
      <w:numFmt w:val="bullet"/>
      <w:lvlText w:val=""/>
      <w:lvlJc w:val="left"/>
      <w:pPr>
        <w:tabs>
          <w:tab w:val="num" w:pos="3600"/>
        </w:tabs>
        <w:ind w:left="3600" w:hanging="360"/>
      </w:pPr>
      <w:rPr>
        <w:rFonts w:ascii="Symbol" w:hAnsi="Symbol" w:hint="default"/>
      </w:rPr>
    </w:lvl>
    <w:lvl w:ilvl="5" w:tplc="13FCF52E" w:tentative="1">
      <w:start w:val="1"/>
      <w:numFmt w:val="bullet"/>
      <w:lvlText w:val=""/>
      <w:lvlJc w:val="left"/>
      <w:pPr>
        <w:tabs>
          <w:tab w:val="num" w:pos="4320"/>
        </w:tabs>
        <w:ind w:left="4320" w:hanging="360"/>
      </w:pPr>
      <w:rPr>
        <w:rFonts w:ascii="Symbol" w:hAnsi="Symbol" w:hint="default"/>
      </w:rPr>
    </w:lvl>
    <w:lvl w:ilvl="6" w:tplc="98D23D76" w:tentative="1">
      <w:start w:val="1"/>
      <w:numFmt w:val="bullet"/>
      <w:lvlText w:val=""/>
      <w:lvlJc w:val="left"/>
      <w:pPr>
        <w:tabs>
          <w:tab w:val="num" w:pos="5040"/>
        </w:tabs>
        <w:ind w:left="5040" w:hanging="360"/>
      </w:pPr>
      <w:rPr>
        <w:rFonts w:ascii="Symbol" w:hAnsi="Symbol" w:hint="default"/>
      </w:rPr>
    </w:lvl>
    <w:lvl w:ilvl="7" w:tplc="51547D1A" w:tentative="1">
      <w:start w:val="1"/>
      <w:numFmt w:val="bullet"/>
      <w:lvlText w:val=""/>
      <w:lvlJc w:val="left"/>
      <w:pPr>
        <w:tabs>
          <w:tab w:val="num" w:pos="5760"/>
        </w:tabs>
        <w:ind w:left="5760" w:hanging="360"/>
      </w:pPr>
      <w:rPr>
        <w:rFonts w:ascii="Symbol" w:hAnsi="Symbol" w:hint="default"/>
      </w:rPr>
    </w:lvl>
    <w:lvl w:ilvl="8" w:tplc="DFB0F268"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19872CF"/>
    <w:multiLevelType w:val="hybridMultilevel"/>
    <w:tmpl w:val="9410D53E"/>
    <w:lvl w:ilvl="0" w:tplc="04090001">
      <w:start w:val="1"/>
      <w:numFmt w:val="bullet"/>
      <w:lvlText w:val=""/>
      <w:lvlJc w:val="left"/>
      <w:pPr>
        <w:ind w:left="720" w:hanging="360"/>
      </w:pPr>
      <w:rPr>
        <w:rFonts w:ascii="Symbol" w:hAnsi="Symbol" w:hint="default"/>
      </w:rPr>
    </w:lvl>
    <w:lvl w:ilvl="1" w:tplc="5CA20D3E">
      <w:start w:val="1"/>
      <w:numFmt w:val="bullet"/>
      <w:pStyle w:val="Bullet2"/>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BA1113"/>
    <w:multiLevelType w:val="hybridMultilevel"/>
    <w:tmpl w:val="87D8F1D0"/>
    <w:lvl w:ilvl="0" w:tplc="2E54D1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BC5475"/>
    <w:multiLevelType w:val="hybridMultilevel"/>
    <w:tmpl w:val="8C8C7254"/>
    <w:lvl w:ilvl="0" w:tplc="51442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613152"/>
    <w:multiLevelType w:val="hybridMultilevel"/>
    <w:tmpl w:val="AAF4CBB8"/>
    <w:lvl w:ilvl="0" w:tplc="F80A24AE">
      <w:start w:val="1"/>
      <w:numFmt w:val="decimal"/>
      <w:pStyle w:val="Listenumros3"/>
      <w:lvlText w:val="%1."/>
      <w:lvlJc w:val="left"/>
      <w:pPr>
        <w:ind w:left="1288" w:hanging="360"/>
      </w:pPr>
    </w:lvl>
    <w:lvl w:ilvl="1" w:tplc="080C0019" w:tentative="1">
      <w:start w:val="1"/>
      <w:numFmt w:val="lowerLetter"/>
      <w:lvlText w:val="%2."/>
      <w:lvlJc w:val="left"/>
      <w:pPr>
        <w:ind w:left="2008" w:hanging="360"/>
      </w:pPr>
    </w:lvl>
    <w:lvl w:ilvl="2" w:tplc="080C001B" w:tentative="1">
      <w:start w:val="1"/>
      <w:numFmt w:val="lowerRoman"/>
      <w:lvlText w:val="%3."/>
      <w:lvlJc w:val="right"/>
      <w:pPr>
        <w:ind w:left="2728" w:hanging="180"/>
      </w:pPr>
    </w:lvl>
    <w:lvl w:ilvl="3" w:tplc="080C000F" w:tentative="1">
      <w:start w:val="1"/>
      <w:numFmt w:val="decimal"/>
      <w:lvlText w:val="%4."/>
      <w:lvlJc w:val="left"/>
      <w:pPr>
        <w:ind w:left="3448" w:hanging="360"/>
      </w:pPr>
    </w:lvl>
    <w:lvl w:ilvl="4" w:tplc="080C0019" w:tentative="1">
      <w:start w:val="1"/>
      <w:numFmt w:val="lowerLetter"/>
      <w:lvlText w:val="%5."/>
      <w:lvlJc w:val="left"/>
      <w:pPr>
        <w:ind w:left="4168" w:hanging="360"/>
      </w:pPr>
    </w:lvl>
    <w:lvl w:ilvl="5" w:tplc="080C001B" w:tentative="1">
      <w:start w:val="1"/>
      <w:numFmt w:val="lowerRoman"/>
      <w:lvlText w:val="%6."/>
      <w:lvlJc w:val="right"/>
      <w:pPr>
        <w:ind w:left="4888" w:hanging="180"/>
      </w:pPr>
    </w:lvl>
    <w:lvl w:ilvl="6" w:tplc="080C000F" w:tentative="1">
      <w:start w:val="1"/>
      <w:numFmt w:val="decimal"/>
      <w:lvlText w:val="%7."/>
      <w:lvlJc w:val="left"/>
      <w:pPr>
        <w:ind w:left="5608" w:hanging="360"/>
      </w:pPr>
    </w:lvl>
    <w:lvl w:ilvl="7" w:tplc="080C0019" w:tentative="1">
      <w:start w:val="1"/>
      <w:numFmt w:val="lowerLetter"/>
      <w:lvlText w:val="%8."/>
      <w:lvlJc w:val="left"/>
      <w:pPr>
        <w:ind w:left="6328" w:hanging="360"/>
      </w:pPr>
    </w:lvl>
    <w:lvl w:ilvl="8" w:tplc="080C001B" w:tentative="1">
      <w:start w:val="1"/>
      <w:numFmt w:val="lowerRoman"/>
      <w:lvlText w:val="%9."/>
      <w:lvlJc w:val="right"/>
      <w:pPr>
        <w:ind w:left="7048" w:hanging="180"/>
      </w:pPr>
    </w:lvl>
  </w:abstractNum>
  <w:abstractNum w:abstractNumId="18" w15:restartNumberingAfterBreak="0">
    <w:nsid w:val="5FB859A2"/>
    <w:multiLevelType w:val="multilevel"/>
    <w:tmpl w:val="720CB1F4"/>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6DCF6FF8"/>
    <w:multiLevelType w:val="hybridMultilevel"/>
    <w:tmpl w:val="732C0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C38C106">
      <w:start w:val="1"/>
      <w:numFmt w:val="bullet"/>
      <w:pStyle w:val="Bullet3"/>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8"/>
  </w:num>
  <w:num w:numId="3">
    <w:abstractNumId w:val="18"/>
  </w:num>
  <w:num w:numId="4">
    <w:abstractNumId w:val="12"/>
  </w:num>
  <w:num w:numId="5">
    <w:abstractNumId w:val="14"/>
  </w:num>
  <w:num w:numId="6">
    <w:abstractNumId w:val="19"/>
  </w:num>
  <w:num w:numId="7">
    <w:abstractNumId w:val="7"/>
  </w:num>
  <w:num w:numId="8">
    <w:abstractNumId w:val="2"/>
  </w:num>
  <w:num w:numId="9">
    <w:abstractNumId w:val="15"/>
  </w:num>
  <w:num w:numId="10">
    <w:abstractNumId w:val="8"/>
  </w:num>
  <w:num w:numId="11">
    <w:abstractNumId w:val="6"/>
  </w:num>
  <w:num w:numId="12">
    <w:abstractNumId w:val="5"/>
  </w:num>
  <w:num w:numId="13">
    <w:abstractNumId w:val="4"/>
  </w:num>
  <w:num w:numId="14">
    <w:abstractNumId w:val="3"/>
  </w:num>
  <w:num w:numId="15">
    <w:abstractNumId w:val="1"/>
  </w:num>
  <w:num w:numId="16">
    <w:abstractNumId w:val="0"/>
  </w:num>
  <w:num w:numId="17">
    <w:abstractNumId w:val="13"/>
  </w:num>
  <w:num w:numId="18">
    <w:abstractNumId w:val="15"/>
    <w:lvlOverride w:ilvl="0">
      <w:startOverride w:val="1"/>
    </w:lvlOverride>
  </w:num>
  <w:num w:numId="19">
    <w:abstractNumId w:val="16"/>
  </w:num>
  <w:num w:numId="20">
    <w:abstractNumId w:val="16"/>
    <w:lvlOverride w:ilvl="0">
      <w:startOverride w:val="1"/>
    </w:lvlOverride>
  </w:num>
  <w:num w:numId="21">
    <w:abstractNumId w:val="10"/>
  </w:num>
  <w:num w:numId="22">
    <w:abstractNumId w:val="17"/>
  </w:num>
  <w:num w:numId="23">
    <w:abstractNumId w:val="11"/>
  </w:num>
  <w:num w:numId="24">
    <w:abstractNumId w:val="9"/>
  </w:num>
  <w:num w:numId="25">
    <w:abstractNumId w:val="18"/>
  </w:num>
  <w:num w:numId="26">
    <w:abstractNumId w:val="18"/>
  </w:num>
  <w:num w:numId="27">
    <w:abstractNumId w:val="18"/>
  </w:num>
  <w:num w:numId="28">
    <w:abstractNumId w:val="18"/>
  </w:num>
  <w:num w:numId="29">
    <w:abstractNumId w:val="14"/>
  </w:num>
  <w:num w:numId="30">
    <w:abstractNumId w:val="14"/>
  </w:num>
  <w:num w:numId="31">
    <w:abstractNumId w:val="14"/>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1FB"/>
    <w:rsid w:val="00004230"/>
    <w:rsid w:val="00017126"/>
    <w:rsid w:val="0005430F"/>
    <w:rsid w:val="000713A8"/>
    <w:rsid w:val="000A2A18"/>
    <w:rsid w:val="000A4636"/>
    <w:rsid w:val="000E1359"/>
    <w:rsid w:val="00101A04"/>
    <w:rsid w:val="00157AE4"/>
    <w:rsid w:val="00160186"/>
    <w:rsid w:val="0016501E"/>
    <w:rsid w:val="0017266F"/>
    <w:rsid w:val="001869F2"/>
    <w:rsid w:val="00203C4A"/>
    <w:rsid w:val="00242C7C"/>
    <w:rsid w:val="00284B49"/>
    <w:rsid w:val="002855EE"/>
    <w:rsid w:val="002913DD"/>
    <w:rsid w:val="0029584D"/>
    <w:rsid w:val="002D0B66"/>
    <w:rsid w:val="002D4ACF"/>
    <w:rsid w:val="002E7428"/>
    <w:rsid w:val="002F7062"/>
    <w:rsid w:val="00360B7C"/>
    <w:rsid w:val="00371E6E"/>
    <w:rsid w:val="00377799"/>
    <w:rsid w:val="003C09AD"/>
    <w:rsid w:val="003C4A27"/>
    <w:rsid w:val="003E1B6D"/>
    <w:rsid w:val="003E6966"/>
    <w:rsid w:val="004979BA"/>
    <w:rsid w:val="004A2661"/>
    <w:rsid w:val="004A28E7"/>
    <w:rsid w:val="004C3CD8"/>
    <w:rsid w:val="00510AC5"/>
    <w:rsid w:val="00515FDD"/>
    <w:rsid w:val="005328E7"/>
    <w:rsid w:val="005410D2"/>
    <w:rsid w:val="0058595C"/>
    <w:rsid w:val="00596333"/>
    <w:rsid w:val="005B2327"/>
    <w:rsid w:val="005C134C"/>
    <w:rsid w:val="005C4E6E"/>
    <w:rsid w:val="00603CE2"/>
    <w:rsid w:val="006164BC"/>
    <w:rsid w:val="006234D9"/>
    <w:rsid w:val="00627314"/>
    <w:rsid w:val="00674284"/>
    <w:rsid w:val="006B641C"/>
    <w:rsid w:val="006C2467"/>
    <w:rsid w:val="00702E56"/>
    <w:rsid w:val="00704D6C"/>
    <w:rsid w:val="00746D0C"/>
    <w:rsid w:val="007658AB"/>
    <w:rsid w:val="0078601D"/>
    <w:rsid w:val="007B1BB4"/>
    <w:rsid w:val="007C7790"/>
    <w:rsid w:val="007D42CB"/>
    <w:rsid w:val="007F1F4E"/>
    <w:rsid w:val="008014E5"/>
    <w:rsid w:val="008170D8"/>
    <w:rsid w:val="008270A4"/>
    <w:rsid w:val="008322DD"/>
    <w:rsid w:val="00837C01"/>
    <w:rsid w:val="008B12A6"/>
    <w:rsid w:val="008E31A2"/>
    <w:rsid w:val="008F168B"/>
    <w:rsid w:val="00900276"/>
    <w:rsid w:val="00916676"/>
    <w:rsid w:val="00925ACB"/>
    <w:rsid w:val="00937881"/>
    <w:rsid w:val="00941C6B"/>
    <w:rsid w:val="00965C52"/>
    <w:rsid w:val="00972FE1"/>
    <w:rsid w:val="0097328D"/>
    <w:rsid w:val="00975E1A"/>
    <w:rsid w:val="009E3607"/>
    <w:rsid w:val="009F04C1"/>
    <w:rsid w:val="00A377AE"/>
    <w:rsid w:val="00A67635"/>
    <w:rsid w:val="00A94FF8"/>
    <w:rsid w:val="00AA7900"/>
    <w:rsid w:val="00AB53A8"/>
    <w:rsid w:val="00AC1B53"/>
    <w:rsid w:val="00B25C2B"/>
    <w:rsid w:val="00B261B1"/>
    <w:rsid w:val="00B33EAD"/>
    <w:rsid w:val="00B33EB1"/>
    <w:rsid w:val="00B47C65"/>
    <w:rsid w:val="00B5075A"/>
    <w:rsid w:val="00B53ADB"/>
    <w:rsid w:val="00B71CCD"/>
    <w:rsid w:val="00B91291"/>
    <w:rsid w:val="00BA5590"/>
    <w:rsid w:val="00BC3ACF"/>
    <w:rsid w:val="00BD1014"/>
    <w:rsid w:val="00BE0B6D"/>
    <w:rsid w:val="00C3025B"/>
    <w:rsid w:val="00C31095"/>
    <w:rsid w:val="00C74546"/>
    <w:rsid w:val="00C86357"/>
    <w:rsid w:val="00C915FC"/>
    <w:rsid w:val="00CB5F8E"/>
    <w:rsid w:val="00CE6A87"/>
    <w:rsid w:val="00D06A68"/>
    <w:rsid w:val="00D410C3"/>
    <w:rsid w:val="00D629BE"/>
    <w:rsid w:val="00D86EF8"/>
    <w:rsid w:val="00DA7C1E"/>
    <w:rsid w:val="00DB0FA2"/>
    <w:rsid w:val="00DD3A50"/>
    <w:rsid w:val="00DE3308"/>
    <w:rsid w:val="00DE47AB"/>
    <w:rsid w:val="00E011FB"/>
    <w:rsid w:val="00E232EB"/>
    <w:rsid w:val="00E363B8"/>
    <w:rsid w:val="00E62F7F"/>
    <w:rsid w:val="00E65E8C"/>
    <w:rsid w:val="00E71B3C"/>
    <w:rsid w:val="00E90351"/>
    <w:rsid w:val="00EA1E4D"/>
    <w:rsid w:val="00EB21EF"/>
    <w:rsid w:val="00EB768C"/>
    <w:rsid w:val="00EC408A"/>
    <w:rsid w:val="00ED6A65"/>
    <w:rsid w:val="00EE0ADE"/>
    <w:rsid w:val="00F44BD5"/>
    <w:rsid w:val="00F50C01"/>
    <w:rsid w:val="00F53181"/>
    <w:rsid w:val="00F63C36"/>
    <w:rsid w:val="00F82386"/>
    <w:rsid w:val="00F8274E"/>
    <w:rsid w:val="00F9492B"/>
    <w:rsid w:val="00F9524F"/>
    <w:rsid w:val="00FB31CC"/>
    <w:rsid w:val="00FD6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5F6FC"/>
  <w15:chartTrackingRefBased/>
  <w15:docId w15:val="{DD74EBF7-BA95-499F-8676-7721E64C6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lsdException w:name="heading 5" w:locked="0"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qFormat="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locked="0" w:semiHidden="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0"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0" w:semiHidden="1" w:uiPriority="0" w:unhideWhenUsed="1"/>
    <w:lsdException w:name="List Number 3" w:locked="0"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8F168B"/>
    <w:pPr>
      <w:spacing w:before="120" w:after="0" w:line="240" w:lineRule="auto"/>
      <w:jc w:val="both"/>
    </w:pPr>
    <w:rPr>
      <w:rFonts w:ascii="Lato" w:hAnsi="Lato"/>
      <w:sz w:val="20"/>
      <w:szCs w:val="20"/>
      <w:lang w:val="fr-BE"/>
    </w:rPr>
  </w:style>
  <w:style w:type="paragraph" w:styleId="Titre1">
    <w:name w:val="heading 1"/>
    <w:basedOn w:val="Normal"/>
    <w:next w:val="Normal"/>
    <w:link w:val="Titre1Car"/>
    <w:uiPriority w:val="9"/>
    <w:qFormat/>
    <w:rsid w:val="00B53ADB"/>
    <w:pPr>
      <w:keepNext/>
      <w:keepLines/>
      <w:numPr>
        <w:numId w:val="3"/>
      </w:numPr>
      <w:spacing w:before="360" w:after="120"/>
      <w:ind w:left="431" w:hanging="431"/>
      <w:jc w:val="left"/>
      <w:outlineLvl w:val="0"/>
    </w:pPr>
    <w:rPr>
      <w:rFonts w:eastAsiaTheme="majorEastAsia" w:cstheme="majorBidi"/>
      <w:sz w:val="36"/>
      <w:szCs w:val="36"/>
    </w:rPr>
  </w:style>
  <w:style w:type="paragraph" w:styleId="Titre2">
    <w:name w:val="heading 2"/>
    <w:basedOn w:val="Titre1"/>
    <w:next w:val="Normal"/>
    <w:link w:val="Titre2Car"/>
    <w:uiPriority w:val="9"/>
    <w:unhideWhenUsed/>
    <w:qFormat/>
    <w:rsid w:val="00FB31CC"/>
    <w:pPr>
      <w:numPr>
        <w:ilvl w:val="1"/>
      </w:numPr>
      <w:spacing w:before="240"/>
      <w:ind w:left="709" w:hanging="709"/>
      <w:outlineLvl w:val="1"/>
    </w:pPr>
    <w:rPr>
      <w:noProof/>
      <w:sz w:val="32"/>
      <w:szCs w:val="30"/>
    </w:rPr>
  </w:style>
  <w:style w:type="paragraph" w:styleId="Titre3">
    <w:name w:val="heading 3"/>
    <w:basedOn w:val="Titre1"/>
    <w:next w:val="Normal"/>
    <w:link w:val="Titre3Car"/>
    <w:uiPriority w:val="9"/>
    <w:unhideWhenUsed/>
    <w:qFormat/>
    <w:rsid w:val="00FB31CC"/>
    <w:pPr>
      <w:numPr>
        <w:ilvl w:val="2"/>
      </w:numPr>
      <w:spacing w:before="240"/>
      <w:outlineLvl w:val="2"/>
    </w:pPr>
    <w:rPr>
      <w:noProof/>
      <w:sz w:val="28"/>
      <w:szCs w:val="24"/>
    </w:rPr>
  </w:style>
  <w:style w:type="paragraph" w:styleId="Titre4">
    <w:name w:val="heading 4"/>
    <w:basedOn w:val="Normal"/>
    <w:next w:val="Normal"/>
    <w:link w:val="Titre4Car"/>
    <w:uiPriority w:val="9"/>
    <w:unhideWhenUsed/>
    <w:rsid w:val="00DE3308"/>
    <w:pPr>
      <w:keepNext/>
      <w:keepLines/>
      <w:spacing w:before="240" w:after="120"/>
      <w:jc w:val="left"/>
      <w:outlineLvl w:val="3"/>
    </w:pPr>
    <w:rPr>
      <w:rFonts w:eastAsiaTheme="majorEastAsia" w:cstheme="majorBidi"/>
      <w:iCs/>
      <w:sz w:val="24"/>
      <w:lang w:val="en-US"/>
    </w:rPr>
  </w:style>
  <w:style w:type="paragraph" w:styleId="Titre5">
    <w:name w:val="heading 5"/>
    <w:basedOn w:val="Normal"/>
    <w:next w:val="Normal"/>
    <w:link w:val="Titre5Car"/>
    <w:uiPriority w:val="9"/>
    <w:unhideWhenUsed/>
    <w:rsid w:val="00BE0B6D"/>
    <w:pPr>
      <w:keepNext/>
      <w:keepLines/>
      <w:spacing w:before="240" w:after="120"/>
      <w:jc w:val="left"/>
      <w:outlineLvl w:val="4"/>
    </w:pPr>
    <w:rPr>
      <w:rFonts w:eastAsiaTheme="majorEastAsia" w:cstheme="majorBidi"/>
      <w:noProof/>
      <w:sz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raphic-H1">
    <w:name w:val="Graphic - H1"/>
    <w:basedOn w:val="Normal"/>
    <w:next w:val="Normal"/>
    <w:rsid w:val="00BE0B6D"/>
    <w:pPr>
      <w:keepNext/>
      <w:tabs>
        <w:tab w:val="left" w:pos="1616"/>
      </w:tabs>
      <w:spacing w:before="360"/>
      <w:jc w:val="left"/>
    </w:pPr>
    <w:rPr>
      <w:noProof/>
      <w:sz w:val="22"/>
    </w:rPr>
  </w:style>
  <w:style w:type="paragraph" w:customStyle="1" w:styleId="Figure-H1">
    <w:name w:val="Figure - H1"/>
    <w:basedOn w:val="Graphic-H1"/>
    <w:rsid w:val="00004230"/>
    <w:pPr>
      <w:tabs>
        <w:tab w:val="clear" w:pos="1616"/>
        <w:tab w:val="left" w:pos="1191"/>
      </w:tabs>
    </w:pPr>
  </w:style>
  <w:style w:type="paragraph" w:customStyle="1" w:styleId="Graphic-H2">
    <w:name w:val="Graphic - H2"/>
    <w:basedOn w:val="Graphic-H1"/>
    <w:next w:val="Normal"/>
    <w:rsid w:val="005328E7"/>
    <w:pPr>
      <w:spacing w:before="60" w:after="60"/>
    </w:pPr>
    <w:rPr>
      <w:i/>
      <w:sz w:val="20"/>
    </w:rPr>
  </w:style>
  <w:style w:type="paragraph" w:customStyle="1" w:styleId="Figure-H2">
    <w:name w:val="Figure - H2"/>
    <w:basedOn w:val="Graphic-H2"/>
    <w:rsid w:val="00F9492B"/>
  </w:style>
  <w:style w:type="paragraph" w:styleId="En-tte">
    <w:name w:val="header"/>
    <w:link w:val="En-tteCar"/>
    <w:uiPriority w:val="99"/>
    <w:unhideWhenUsed/>
    <w:locked/>
    <w:rsid w:val="00DB0FA2"/>
    <w:pPr>
      <w:tabs>
        <w:tab w:val="center" w:pos="4680"/>
        <w:tab w:val="right" w:pos="9360"/>
      </w:tabs>
    </w:pPr>
    <w:rPr>
      <w:rFonts w:ascii="Lato" w:hAnsi="Lato"/>
      <w:sz w:val="18"/>
      <w:szCs w:val="18"/>
      <w:lang w:val="fr-BE"/>
    </w:rPr>
  </w:style>
  <w:style w:type="character" w:customStyle="1" w:styleId="En-tteCar">
    <w:name w:val="En-tête Car"/>
    <w:basedOn w:val="Policepardfaut"/>
    <w:link w:val="En-tte"/>
    <w:uiPriority w:val="99"/>
    <w:rsid w:val="00DB0FA2"/>
    <w:rPr>
      <w:rFonts w:ascii="Lato" w:hAnsi="Lato"/>
      <w:sz w:val="18"/>
      <w:szCs w:val="18"/>
      <w:lang w:val="fr-BE"/>
    </w:rPr>
  </w:style>
  <w:style w:type="character" w:customStyle="1" w:styleId="Titre1Car">
    <w:name w:val="Titre 1 Car"/>
    <w:basedOn w:val="Policepardfaut"/>
    <w:link w:val="Titre1"/>
    <w:uiPriority w:val="9"/>
    <w:rsid w:val="00B53ADB"/>
    <w:rPr>
      <w:rFonts w:ascii="Lato" w:eastAsiaTheme="majorEastAsia" w:hAnsi="Lato" w:cstheme="majorBidi"/>
      <w:sz w:val="36"/>
      <w:szCs w:val="36"/>
    </w:rPr>
  </w:style>
  <w:style w:type="character" w:customStyle="1" w:styleId="Titre2Car">
    <w:name w:val="Titre 2 Car"/>
    <w:basedOn w:val="Policepardfaut"/>
    <w:link w:val="Titre2"/>
    <w:uiPriority w:val="9"/>
    <w:rsid w:val="00FB31CC"/>
    <w:rPr>
      <w:rFonts w:ascii="Lato" w:eastAsiaTheme="majorEastAsia" w:hAnsi="Lato" w:cstheme="majorBidi"/>
      <w:noProof/>
      <w:sz w:val="32"/>
      <w:szCs w:val="30"/>
    </w:rPr>
  </w:style>
  <w:style w:type="character" w:customStyle="1" w:styleId="Titre3Car">
    <w:name w:val="Titre 3 Car"/>
    <w:basedOn w:val="Policepardfaut"/>
    <w:link w:val="Titre3"/>
    <w:uiPriority w:val="9"/>
    <w:rsid w:val="00FB31CC"/>
    <w:rPr>
      <w:rFonts w:ascii="Lato" w:eastAsiaTheme="majorEastAsia" w:hAnsi="Lato" w:cstheme="majorBidi"/>
      <w:noProof/>
      <w:sz w:val="28"/>
      <w:szCs w:val="24"/>
    </w:rPr>
  </w:style>
  <w:style w:type="character" w:customStyle="1" w:styleId="Titre4Car">
    <w:name w:val="Titre 4 Car"/>
    <w:basedOn w:val="Policepardfaut"/>
    <w:link w:val="Titre4"/>
    <w:uiPriority w:val="9"/>
    <w:rsid w:val="00DE3308"/>
    <w:rPr>
      <w:rFonts w:ascii="Lato" w:eastAsiaTheme="majorEastAsia" w:hAnsi="Lato" w:cstheme="majorBidi"/>
      <w:iCs/>
      <w:sz w:val="24"/>
      <w:szCs w:val="20"/>
    </w:rPr>
  </w:style>
  <w:style w:type="character" w:customStyle="1" w:styleId="Titre5Car">
    <w:name w:val="Titre 5 Car"/>
    <w:basedOn w:val="Policepardfaut"/>
    <w:link w:val="Titre5"/>
    <w:uiPriority w:val="9"/>
    <w:rsid w:val="00BE0B6D"/>
    <w:rPr>
      <w:rFonts w:ascii="Lato" w:eastAsiaTheme="majorEastAsia" w:hAnsi="Lato" w:cstheme="majorBidi"/>
      <w:noProof/>
      <w:szCs w:val="20"/>
    </w:rPr>
  </w:style>
  <w:style w:type="paragraph" w:customStyle="1" w:styleId="Bullet1">
    <w:name w:val="Bullet 1"/>
    <w:basedOn w:val="Normal"/>
    <w:qFormat/>
    <w:rsid w:val="00EB21EF"/>
    <w:pPr>
      <w:numPr>
        <w:numId w:val="4"/>
      </w:numPr>
      <w:spacing w:before="60"/>
      <w:ind w:left="284" w:hanging="284"/>
    </w:pPr>
    <w:rPr>
      <w:lang w:val="fr-FR"/>
    </w:rPr>
  </w:style>
  <w:style w:type="paragraph" w:customStyle="1" w:styleId="Bullet2">
    <w:name w:val="Bullet 2"/>
    <w:basedOn w:val="Bullet1"/>
    <w:qFormat/>
    <w:rsid w:val="00B33EAD"/>
    <w:pPr>
      <w:numPr>
        <w:ilvl w:val="1"/>
        <w:numId w:val="5"/>
      </w:numPr>
    </w:pPr>
  </w:style>
  <w:style w:type="paragraph" w:customStyle="1" w:styleId="Bullet3">
    <w:name w:val="Bullet 3"/>
    <w:basedOn w:val="Bullet2"/>
    <w:rsid w:val="00B33EAD"/>
    <w:pPr>
      <w:numPr>
        <w:ilvl w:val="2"/>
        <w:numId w:val="6"/>
      </w:numPr>
      <w:ind w:left="851" w:hanging="284"/>
    </w:pPr>
  </w:style>
  <w:style w:type="paragraph" w:customStyle="1" w:styleId="Indent1">
    <w:name w:val="Indent 1"/>
    <w:basedOn w:val="Normal"/>
    <w:qFormat/>
    <w:rsid w:val="00B33EAD"/>
    <w:pPr>
      <w:spacing w:before="60"/>
      <w:ind w:left="284"/>
    </w:pPr>
  </w:style>
  <w:style w:type="paragraph" w:customStyle="1" w:styleId="Indent2">
    <w:name w:val="Indent 2"/>
    <w:basedOn w:val="Indent1"/>
    <w:qFormat/>
    <w:rsid w:val="00F9492B"/>
    <w:pPr>
      <w:ind w:left="567"/>
    </w:pPr>
  </w:style>
  <w:style w:type="paragraph" w:customStyle="1" w:styleId="Indent3">
    <w:name w:val="Indent 3"/>
    <w:basedOn w:val="Indent2"/>
    <w:rsid w:val="00F9492B"/>
    <w:pPr>
      <w:ind w:left="851"/>
    </w:pPr>
  </w:style>
  <w:style w:type="paragraph" w:customStyle="1" w:styleId="Source">
    <w:name w:val="Source"/>
    <w:basedOn w:val="Normal"/>
    <w:rsid w:val="00004230"/>
    <w:pPr>
      <w:spacing w:before="60" w:after="240"/>
      <w:jc w:val="left"/>
    </w:pPr>
    <w:rPr>
      <w:sz w:val="18"/>
    </w:rPr>
  </w:style>
  <w:style w:type="paragraph" w:customStyle="1" w:styleId="Table">
    <w:name w:val="Table"/>
    <w:basedOn w:val="Normal"/>
    <w:rsid w:val="002D4ACF"/>
    <w:pPr>
      <w:spacing w:before="0"/>
      <w:jc w:val="left"/>
    </w:pPr>
    <w:rPr>
      <w:sz w:val="18"/>
    </w:rPr>
  </w:style>
  <w:style w:type="paragraph" w:styleId="TM1">
    <w:name w:val="toc 1"/>
    <w:basedOn w:val="Normal"/>
    <w:next w:val="Normal"/>
    <w:autoRedefine/>
    <w:uiPriority w:val="39"/>
    <w:unhideWhenUsed/>
    <w:locked/>
    <w:rsid w:val="004C3CD8"/>
    <w:pPr>
      <w:tabs>
        <w:tab w:val="left" w:pos="426"/>
        <w:tab w:val="right" w:leader="dot" w:pos="8494"/>
      </w:tabs>
      <w:spacing w:after="100"/>
      <w:ind w:left="426" w:hanging="426"/>
    </w:pPr>
    <w:rPr>
      <w:noProof/>
    </w:rPr>
  </w:style>
  <w:style w:type="paragraph" w:styleId="TM2">
    <w:name w:val="toc 2"/>
    <w:basedOn w:val="Normal"/>
    <w:next w:val="Normal"/>
    <w:autoRedefine/>
    <w:uiPriority w:val="39"/>
    <w:unhideWhenUsed/>
    <w:locked/>
    <w:rsid w:val="003C09AD"/>
    <w:pPr>
      <w:tabs>
        <w:tab w:val="left" w:pos="993"/>
        <w:tab w:val="right" w:leader="dot" w:pos="8494"/>
      </w:tabs>
      <w:spacing w:after="100"/>
      <w:ind w:left="993" w:hanging="567"/>
    </w:pPr>
  </w:style>
  <w:style w:type="paragraph" w:styleId="TM3">
    <w:name w:val="toc 3"/>
    <w:basedOn w:val="Normal"/>
    <w:next w:val="Normal"/>
    <w:autoRedefine/>
    <w:uiPriority w:val="39"/>
    <w:unhideWhenUsed/>
    <w:locked/>
    <w:rsid w:val="003C09AD"/>
    <w:pPr>
      <w:tabs>
        <w:tab w:val="left" w:pos="1701"/>
        <w:tab w:val="right" w:leader="dot" w:pos="8494"/>
      </w:tabs>
      <w:spacing w:after="100"/>
      <w:ind w:left="1701" w:hanging="708"/>
    </w:pPr>
  </w:style>
  <w:style w:type="paragraph" w:styleId="Pieddepage">
    <w:name w:val="footer"/>
    <w:basedOn w:val="Normal"/>
    <w:link w:val="PieddepageCar"/>
    <w:uiPriority w:val="99"/>
    <w:unhideWhenUsed/>
    <w:locked/>
    <w:rsid w:val="00F9492B"/>
    <w:pPr>
      <w:tabs>
        <w:tab w:val="center" w:pos="4680"/>
        <w:tab w:val="right" w:pos="9360"/>
      </w:tabs>
      <w:jc w:val="center"/>
    </w:pPr>
  </w:style>
  <w:style w:type="character" w:customStyle="1" w:styleId="PieddepageCar">
    <w:name w:val="Pied de page Car"/>
    <w:basedOn w:val="Policepardfaut"/>
    <w:link w:val="Pieddepage"/>
    <w:uiPriority w:val="99"/>
    <w:rsid w:val="00F9492B"/>
    <w:rPr>
      <w:rFonts w:ascii="Lato" w:hAnsi="Lato"/>
      <w:sz w:val="18"/>
      <w:szCs w:val="18"/>
      <w:lang w:val="fr-BE"/>
    </w:rPr>
  </w:style>
  <w:style w:type="table" w:styleId="Grilledutableau">
    <w:name w:val="Table Grid"/>
    <w:basedOn w:val="TableauNormal"/>
    <w:uiPriority w:val="39"/>
    <w:locked/>
    <w:rsid w:val="00F94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locked/>
    <w:rsid w:val="003C09AD"/>
    <w:pPr>
      <w:numPr>
        <w:numId w:val="0"/>
      </w:numPr>
      <w:spacing w:before="240" w:after="0" w:line="259" w:lineRule="auto"/>
      <w:outlineLvl w:val="9"/>
    </w:pPr>
    <w:rPr>
      <w:sz w:val="24"/>
      <w:szCs w:val="24"/>
      <w:lang w:val="en-US"/>
    </w:rPr>
  </w:style>
  <w:style w:type="character" w:styleId="Lienhypertexte">
    <w:name w:val="Hyperlink"/>
    <w:basedOn w:val="Policepardfaut"/>
    <w:uiPriority w:val="99"/>
    <w:unhideWhenUsed/>
    <w:locked/>
    <w:rsid w:val="003C09AD"/>
    <w:rPr>
      <w:color w:val="0563C1" w:themeColor="hyperlink"/>
      <w:u w:val="single"/>
    </w:rPr>
  </w:style>
  <w:style w:type="paragraph" w:styleId="Notedebasdepage">
    <w:name w:val="footnote text"/>
    <w:basedOn w:val="Normal"/>
    <w:link w:val="NotedebasdepageCar"/>
    <w:uiPriority w:val="99"/>
    <w:qFormat/>
    <w:locked/>
    <w:rsid w:val="00D629BE"/>
    <w:pPr>
      <w:spacing w:before="0" w:after="60"/>
    </w:pPr>
    <w:rPr>
      <w:sz w:val="18"/>
    </w:rPr>
  </w:style>
  <w:style w:type="character" w:customStyle="1" w:styleId="NotedebasdepageCar">
    <w:name w:val="Note de bas de page Car"/>
    <w:basedOn w:val="Policepardfaut"/>
    <w:link w:val="Notedebasdepage"/>
    <w:uiPriority w:val="99"/>
    <w:rsid w:val="00D629BE"/>
    <w:rPr>
      <w:rFonts w:ascii="Lato" w:hAnsi="Lato"/>
      <w:sz w:val="18"/>
      <w:szCs w:val="20"/>
      <w:lang w:val="fr-BE"/>
    </w:rPr>
  </w:style>
  <w:style w:type="character" w:styleId="Appelnotedebasdep">
    <w:name w:val="footnote reference"/>
    <w:basedOn w:val="Policepardfaut"/>
    <w:uiPriority w:val="99"/>
    <w:semiHidden/>
    <w:unhideWhenUsed/>
    <w:locked/>
    <w:rsid w:val="004C3CD8"/>
    <w:rPr>
      <w:vertAlign w:val="superscript"/>
    </w:rPr>
  </w:style>
  <w:style w:type="paragraph" w:customStyle="1" w:styleId="NoParagraphStyle">
    <w:name w:val="[No Paragraph Style]"/>
    <w:basedOn w:val="Normal"/>
    <w:locked/>
    <w:rsid w:val="00DB0FA2"/>
    <w:pPr>
      <w:autoSpaceDE w:val="0"/>
      <w:autoSpaceDN w:val="0"/>
      <w:adjustRightInd w:val="0"/>
      <w:spacing w:before="0" w:line="288" w:lineRule="auto"/>
      <w:textAlignment w:val="center"/>
    </w:pPr>
    <w:rPr>
      <w:rFonts w:ascii="Lato Light" w:hAnsi="Lato Light" w:cs="DINPro-Regular"/>
      <w:color w:val="000000"/>
      <w:spacing w:val="-4"/>
      <w:szCs w:val="22"/>
      <w:lang w:val="fr-FR"/>
    </w:rPr>
  </w:style>
  <w:style w:type="paragraph" w:customStyle="1" w:styleId="txt">
    <w:name w:val="txt"/>
    <w:basedOn w:val="NoParagraphStyle"/>
    <w:uiPriority w:val="99"/>
    <w:semiHidden/>
    <w:locked/>
    <w:rsid w:val="00BD1014"/>
    <w:pPr>
      <w:spacing w:before="57" w:after="170"/>
    </w:pPr>
    <w:rPr>
      <w:sz w:val="18"/>
    </w:rPr>
  </w:style>
  <w:style w:type="character" w:styleId="Lienhypertextesuivivisit">
    <w:name w:val="FollowedHyperlink"/>
    <w:basedOn w:val="Policepardfaut"/>
    <w:uiPriority w:val="99"/>
    <w:semiHidden/>
    <w:unhideWhenUsed/>
    <w:locked/>
    <w:rsid w:val="00DA7C1E"/>
    <w:rPr>
      <w:color w:val="954F72" w:themeColor="followedHyperlink"/>
      <w:u w:val="single"/>
    </w:rPr>
  </w:style>
  <w:style w:type="paragraph" w:customStyle="1" w:styleId="Title-1-brochure">
    <w:name w:val="Title-1-brochure"/>
    <w:next w:val="Title-2-brochure"/>
    <w:rsid w:val="00E363B8"/>
    <w:pPr>
      <w:spacing w:line="240" w:lineRule="auto"/>
      <w:jc w:val="center"/>
    </w:pPr>
    <w:rPr>
      <w:rFonts w:ascii="Lato" w:hAnsi="Lato"/>
      <w:sz w:val="36"/>
      <w:szCs w:val="36"/>
      <w:lang w:val="fr-BE"/>
    </w:rPr>
  </w:style>
  <w:style w:type="paragraph" w:customStyle="1" w:styleId="Title-2-brochure">
    <w:name w:val="Title-2-brochure"/>
    <w:basedOn w:val="Title-1-brochure"/>
    <w:rsid w:val="00E363B8"/>
    <w:rPr>
      <w:rFonts w:ascii="Lato Light" w:hAnsi="Lato Light"/>
      <w:sz w:val="32"/>
      <w:szCs w:val="32"/>
    </w:rPr>
  </w:style>
  <w:style w:type="paragraph" w:styleId="Listenumros">
    <w:name w:val="List Number"/>
    <w:basedOn w:val="Normal"/>
    <w:locked/>
    <w:rsid w:val="00B33EAD"/>
    <w:pPr>
      <w:numPr>
        <w:numId w:val="7"/>
      </w:numPr>
      <w:tabs>
        <w:tab w:val="clear" w:pos="360"/>
        <w:tab w:val="num" w:pos="284"/>
      </w:tabs>
      <w:spacing w:before="60"/>
      <w:ind w:left="284" w:hanging="284"/>
    </w:pPr>
    <w:rPr>
      <w:rFonts w:eastAsia="Times New Roman" w:cs="Times New Roman"/>
      <w:szCs w:val="18"/>
    </w:rPr>
  </w:style>
  <w:style w:type="paragraph" w:styleId="Listenumros2">
    <w:name w:val="List Number 2"/>
    <w:basedOn w:val="Listenumros"/>
    <w:locked/>
    <w:rsid w:val="00EE0ADE"/>
    <w:pPr>
      <w:numPr>
        <w:numId w:val="21"/>
      </w:numPr>
      <w:tabs>
        <w:tab w:val="left" w:pos="567"/>
      </w:tabs>
      <w:ind w:left="567" w:hanging="283"/>
    </w:pPr>
  </w:style>
  <w:style w:type="paragraph" w:styleId="Listenumros3">
    <w:name w:val="List Number 3"/>
    <w:basedOn w:val="Listenumros2"/>
    <w:locked/>
    <w:rsid w:val="00EE0ADE"/>
    <w:pPr>
      <w:numPr>
        <w:numId w:val="22"/>
      </w:numPr>
      <w:tabs>
        <w:tab w:val="clear" w:pos="567"/>
        <w:tab w:val="left" w:pos="851"/>
      </w:tabs>
      <w:ind w:left="851" w:hanging="284"/>
    </w:pPr>
  </w:style>
  <w:style w:type="paragraph" w:customStyle="1" w:styleId="Table-H1">
    <w:name w:val="Table - H1"/>
    <w:basedOn w:val="Graphic-H1"/>
    <w:qFormat/>
    <w:rsid w:val="00004230"/>
    <w:pPr>
      <w:tabs>
        <w:tab w:val="clear" w:pos="1616"/>
        <w:tab w:val="left" w:pos="1361"/>
      </w:tabs>
    </w:pPr>
  </w:style>
  <w:style w:type="paragraph" w:customStyle="1" w:styleId="Table-H2">
    <w:name w:val="Table - H2"/>
    <w:basedOn w:val="Graphic-H2"/>
    <w:qFormat/>
    <w:rsid w:val="005328E7"/>
  </w:style>
  <w:style w:type="table" w:styleId="Grilledetableauclaire">
    <w:name w:val="Grid Table Light"/>
    <w:basedOn w:val="TableauNormal"/>
    <w:uiPriority w:val="40"/>
    <w:locked/>
    <w:rsid w:val="00BC3AC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PF">
    <w:name w:val="SPF"/>
    <w:basedOn w:val="TableauNormal"/>
    <w:uiPriority w:val="99"/>
    <w:rsid w:val="00BC3ACF"/>
    <w:pPr>
      <w:spacing w:after="0" w:line="240" w:lineRule="auto"/>
    </w:pPr>
    <w:rPr>
      <w:rFonts w:ascii="Lato" w:hAnsi="Lato"/>
      <w:sz w:val="20"/>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57" w:type="dxa"/>
        <w:right w:w="57" w:type="dxa"/>
      </w:tblCellMar>
    </w:tblPr>
  </w:style>
  <w:style w:type="paragraph" w:styleId="Tabledesillustrations">
    <w:name w:val="table of figures"/>
    <w:basedOn w:val="Normal"/>
    <w:next w:val="Normal"/>
    <w:uiPriority w:val="99"/>
    <w:rsid w:val="008F168B"/>
  </w:style>
  <w:style w:type="paragraph" w:styleId="Paragraphedeliste">
    <w:name w:val="List Paragraph"/>
    <w:basedOn w:val="Normal"/>
    <w:uiPriority w:val="34"/>
    <w:qFormat/>
    <w:rsid w:val="00E011FB"/>
    <w:pPr>
      <w:spacing w:before="0" w:after="160" w:line="259" w:lineRule="auto"/>
      <w:ind w:left="720"/>
      <w:contextualSpacing/>
      <w:jc w:val="left"/>
    </w:pPr>
    <w:rPr>
      <w:rFonts w:asciiTheme="minorHAnsi" w:eastAsiaTheme="minorEastAsia" w:hAnsiTheme="minorHAnsi"/>
      <w:sz w:val="22"/>
      <w:szCs w:val="22"/>
      <w:lang w:val="nl-BE" w:eastAsia="zh-CN"/>
    </w:rPr>
  </w:style>
  <w:style w:type="character" w:styleId="Mentionnonrsolue">
    <w:name w:val="Unresolved Mention"/>
    <w:basedOn w:val="Policepardfaut"/>
    <w:uiPriority w:val="99"/>
    <w:semiHidden/>
    <w:unhideWhenUsed/>
    <w:rsid w:val="00F44BD5"/>
    <w:rPr>
      <w:color w:val="605E5C"/>
      <w:shd w:val="clear" w:color="auto" w:fill="E1DFDD"/>
    </w:rPr>
  </w:style>
  <w:style w:type="paragraph" w:styleId="Rvision">
    <w:name w:val="Revision"/>
    <w:hidden/>
    <w:uiPriority w:val="99"/>
    <w:semiHidden/>
    <w:rsid w:val="00F50C01"/>
    <w:pPr>
      <w:spacing w:after="0" w:line="240" w:lineRule="auto"/>
    </w:pPr>
    <w:rPr>
      <w:rFonts w:ascii="Lato" w:hAnsi="Lato"/>
      <w:sz w:val="20"/>
      <w:szCs w:val="20"/>
      <w:lang w:val="fr-BE"/>
    </w:rPr>
  </w:style>
  <w:style w:type="character" w:styleId="Marquedecommentaire">
    <w:name w:val="annotation reference"/>
    <w:basedOn w:val="Policepardfaut"/>
    <w:uiPriority w:val="99"/>
    <w:semiHidden/>
    <w:unhideWhenUsed/>
    <w:locked/>
    <w:rsid w:val="004979BA"/>
    <w:rPr>
      <w:sz w:val="16"/>
      <w:szCs w:val="16"/>
    </w:rPr>
  </w:style>
  <w:style w:type="paragraph" w:styleId="Commentaire">
    <w:name w:val="annotation text"/>
    <w:basedOn w:val="Normal"/>
    <w:link w:val="CommentaireCar"/>
    <w:uiPriority w:val="99"/>
    <w:semiHidden/>
    <w:unhideWhenUsed/>
    <w:locked/>
    <w:rsid w:val="004979BA"/>
  </w:style>
  <w:style w:type="character" w:customStyle="1" w:styleId="CommentaireCar">
    <w:name w:val="Commentaire Car"/>
    <w:basedOn w:val="Policepardfaut"/>
    <w:link w:val="Commentaire"/>
    <w:uiPriority w:val="99"/>
    <w:semiHidden/>
    <w:rsid w:val="004979BA"/>
    <w:rPr>
      <w:rFonts w:ascii="Lato" w:hAnsi="Lato"/>
      <w:sz w:val="20"/>
      <w:szCs w:val="20"/>
      <w:lang w:val="fr-BE"/>
    </w:rPr>
  </w:style>
  <w:style w:type="paragraph" w:styleId="Objetducommentaire">
    <w:name w:val="annotation subject"/>
    <w:basedOn w:val="Commentaire"/>
    <w:next w:val="Commentaire"/>
    <w:link w:val="ObjetducommentaireCar"/>
    <w:uiPriority w:val="99"/>
    <w:semiHidden/>
    <w:unhideWhenUsed/>
    <w:locked/>
    <w:rsid w:val="004979BA"/>
    <w:rPr>
      <w:b/>
      <w:bCs/>
    </w:rPr>
  </w:style>
  <w:style w:type="character" w:customStyle="1" w:styleId="ObjetducommentaireCar">
    <w:name w:val="Objet du commentaire Car"/>
    <w:basedOn w:val="CommentaireCar"/>
    <w:link w:val="Objetducommentaire"/>
    <w:uiPriority w:val="99"/>
    <w:semiHidden/>
    <w:rsid w:val="004979BA"/>
    <w:rPr>
      <w:rFonts w:ascii="Lato" w:hAnsi="Lato"/>
      <w:b/>
      <w:bCs/>
      <w:sz w:val="20"/>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regional_policy/en/information/logos_downloadcente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justice.just.fgov.be/eli/arrete/2022/04/21/2022031819/moniteu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Z:\S4\0441-S4%20Creation\Cr&#233;ation%20-%20Creatie\_Mod&#232;les\Nieuwe%20huisstijl%20brochure-%20nouveau%20style%20maison%20brochure\brochure-A4-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rench_x005f_x0020_Variation xmlns="751bfe3d-1b75-491a-b76e-845b600778ad" xsi:nil="true"/>
    <English_x005f_x0020_Variation xmlns="751bfe3d-1b75-491a-b76e-845b600778ad" xsi:nil="true"/>
    <Dutch_x005f_x0020_Variation xmlns="751bfe3d-1b75-491a-b76e-845b600778ad" xsi:nil="true"/>
    <Item_x0020_Language xmlns="61fd27c5-79f4-4ba3-91b0-f449fa795636">French</Item_x0020_Language>
  </documentManagement>
</p:properties>
</file>

<file path=customXml/item3.xml><?xml version="1.0" encoding="utf-8"?>
<ct:contentTypeSchema xmlns:ct="http://schemas.microsoft.com/office/2006/metadata/contentType" xmlns:ma="http://schemas.microsoft.com/office/2006/metadata/properties/metaAttributes" ct:_="" ma:_="" ma:contentTypeName="FODECO Document" ma:contentTypeID="0x010100D4BD6C48F73946A18560C013AA9EB747000A7168C91BFF4C43BF9F3753A06432D8" ma:contentTypeVersion="1" ma:contentTypeDescription="Crée un document." ma:contentTypeScope="" ma:versionID="b1ec6561db4a1a034ad2cb1c309d65d6">
  <xsd:schema xmlns:xsd="http://www.w3.org/2001/XMLSchema" xmlns:xs="http://www.w3.org/2001/XMLSchema" xmlns:p="http://schemas.microsoft.com/office/2006/metadata/properties" xmlns:ns2="61fd27c5-79f4-4ba3-91b0-f449fa795636" xmlns:ns3="751bfe3d-1b75-491a-b76e-845b600778ad" targetNamespace="http://schemas.microsoft.com/office/2006/metadata/properties" ma:root="true" ma:fieldsID="ca7a9b8c188659486b6758b1ff8adf0d" ns2:_="" ns3:_="">
    <xsd:import namespace="61fd27c5-79f4-4ba3-91b0-f449fa795636"/>
    <xsd:import namespace="751bfe3d-1b75-491a-b76e-845b600778ad"/>
    <xsd:element name="properties">
      <xsd:complexType>
        <xsd:sequence>
          <xsd:element name="documentManagement">
            <xsd:complexType>
              <xsd:all>
                <xsd:element ref="ns2:Item_x0020_Language"/>
                <xsd:element ref="ns3:Dutch_x005f_x0020_Variation" minOccurs="0"/>
                <xsd:element ref="ns3:English_x005f_x0020_Variation" minOccurs="0"/>
                <xsd:element ref="ns3:French_x005f_x0020_Vari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fd27c5-79f4-4ba3-91b0-f449fa795636" elementFormDefault="qualified">
    <xsd:import namespace="http://schemas.microsoft.com/office/2006/documentManagement/types"/>
    <xsd:import namespace="http://schemas.microsoft.com/office/infopath/2007/PartnerControls"/>
    <xsd:element name="Item_x0020_Language" ma:index="8" ma:displayName="Item Language" ma:format="RadioButtons" ma:internalName="Item_x0020_Language">
      <xsd:simpleType>
        <xsd:restriction base="dms:Choice">
          <xsd:enumeration value="Dutch"/>
          <xsd:enumeration value="French"/>
          <xsd:enumeration value="English"/>
        </xsd:restriction>
      </xsd:simpleType>
    </xsd:element>
  </xsd:schema>
  <xsd:schema xmlns:xsd="http://www.w3.org/2001/XMLSchema" xmlns:xs="http://www.w3.org/2001/XMLSchema" xmlns:dms="http://schemas.microsoft.com/office/2006/documentManagement/types" xmlns:pc="http://schemas.microsoft.com/office/infopath/2007/PartnerControls" targetNamespace="751bfe3d-1b75-491a-b76e-845b600778ad" elementFormDefault="qualified">
    <xsd:import namespace="http://schemas.microsoft.com/office/2006/documentManagement/types"/>
    <xsd:import namespace="http://schemas.microsoft.com/office/infopath/2007/PartnerControls"/>
    <xsd:element name="Dutch_x005f_x0020_Variation" ma:index="9" nillable="true" ma:displayName="Dutch Variation" ma:list="Self" ma:internalName="Dutch_x0020_Variation" ma:showField="ID">
      <xsd:simpleType>
        <xsd:restriction base="dms:Lookup"/>
      </xsd:simpleType>
    </xsd:element>
    <xsd:element name="English_x005f_x0020_Variation" ma:index="10" nillable="true" ma:displayName="English Variation" ma:list="Self" ma:internalName="English_x0020_Variation" ma:showField="ID">
      <xsd:simpleType>
        <xsd:restriction base="dms:Lookup"/>
      </xsd:simpleType>
    </xsd:element>
    <xsd:element name="French_x005f_x0020_Variation" ma:index="11" nillable="true" ma:displayName="French Variation" ma:list="Self" ma:internalName="French_x0020_Variation" ma:showField="I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B4948-BE23-453A-897E-58297891535D}">
  <ds:schemaRefs>
    <ds:schemaRef ds:uri="http://schemas.microsoft.com/sharepoint/v3/contenttype/forms"/>
  </ds:schemaRefs>
</ds:datastoreItem>
</file>

<file path=customXml/itemProps2.xml><?xml version="1.0" encoding="utf-8"?>
<ds:datastoreItem xmlns:ds="http://schemas.openxmlformats.org/officeDocument/2006/customXml" ds:itemID="{637A50CF-D9DE-4FF8-B97D-317682646B27}">
  <ds:schemaRefs>
    <ds:schemaRef ds:uri="http://schemas.microsoft.com/office/2006/metadata/properties"/>
    <ds:schemaRef ds:uri="http://schemas.microsoft.com/office/infopath/2007/PartnerControls"/>
    <ds:schemaRef ds:uri="751bfe3d-1b75-491a-b76e-845b600778ad"/>
    <ds:schemaRef ds:uri="61fd27c5-79f4-4ba3-91b0-f449fa795636"/>
  </ds:schemaRefs>
</ds:datastoreItem>
</file>

<file path=customXml/itemProps3.xml><?xml version="1.0" encoding="utf-8"?>
<ds:datastoreItem xmlns:ds="http://schemas.openxmlformats.org/officeDocument/2006/customXml" ds:itemID="{92266922-3755-4558-A01F-AC337C6EE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fd27c5-79f4-4ba3-91b0-f449fa795636"/>
    <ds:schemaRef ds:uri="751bfe3d-1b75-491a-b76e-845b60077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6843DD-E13C-4BEF-9D77-7605BBFD8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brochure-A4-F.dotx</Template>
  <TotalTime>2</TotalTime>
  <Pages>5</Pages>
  <Words>2310</Words>
  <Characters>12706</Characters>
  <Application>Microsoft Office Word</Application>
  <DocSecurity>0</DocSecurity>
  <Lines>105</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FOD/SPF Economie</Company>
  <LinksUpToDate>false</LinksUpToDate>
  <CharactersWithSpaces>14987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GUIDON</dc:creator>
  <cp:keywords/>
  <dc:description>version 14.01.2020</dc:description>
  <cp:lastModifiedBy>Carine Poublon (FOD Economie - SPF Economie)</cp:lastModifiedBy>
  <cp:revision>2</cp:revision>
  <cp:lastPrinted>2019-09-13T14:13:00Z</cp:lastPrinted>
  <dcterms:created xsi:type="dcterms:W3CDTF">2022-06-01T06:04:00Z</dcterms:created>
  <dcterms:modified xsi:type="dcterms:W3CDTF">2022-06-01T06:04:00Z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0x010100D4BD6C48F73946A18560C013AA9EB747000A7168C91BFF4C43BF9F3753A06432D8</vt:lpwstr>
  </property>
</Properties>
</file>