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DABC2" w14:textId="321A142C" w:rsidR="0011699C" w:rsidRPr="008673CE" w:rsidRDefault="00D536C2" w:rsidP="008673CE">
      <w:r w:rsidRPr="0011699C">
        <w:rPr>
          <w:noProof/>
          <w:lang w:val="nl-BE"/>
        </w:rPr>
        <w:drawing>
          <wp:inline distT="0" distB="0" distL="0" distR="0" wp14:anchorId="5E2EC320" wp14:editId="5236FB16">
            <wp:extent cx="2432685" cy="96964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685" cy="969645"/>
                    </a:xfrm>
                    <a:prstGeom prst="rect">
                      <a:avLst/>
                    </a:prstGeom>
                    <a:noFill/>
                  </pic:spPr>
                </pic:pic>
              </a:graphicData>
            </a:graphic>
          </wp:inline>
        </w:drawing>
      </w:r>
    </w:p>
    <w:p w14:paraId="2D849EAC" w14:textId="77777777" w:rsidR="008673CE" w:rsidRPr="0011699C" w:rsidRDefault="008673CE" w:rsidP="008673CE">
      <w:pPr>
        <w:pStyle w:val="Title-1-brochure"/>
      </w:pPr>
    </w:p>
    <w:p w14:paraId="2502F9B6" w14:textId="77777777" w:rsidR="0011699C" w:rsidRPr="008A50C8" w:rsidRDefault="0011699C" w:rsidP="008A50C8">
      <w:pPr>
        <w:pStyle w:val="Title-1-brochure"/>
        <w:rPr>
          <w:lang w:val="en-US"/>
        </w:rPr>
      </w:pPr>
      <w:r w:rsidRPr="008A50C8">
        <w:rPr>
          <w:lang w:val="en-US"/>
        </w:rPr>
        <w:t>Clean hydrogen for clean industry</w:t>
      </w:r>
    </w:p>
    <w:p w14:paraId="7E32727C" w14:textId="77777777" w:rsidR="0011699C" w:rsidRPr="008A50C8" w:rsidRDefault="0011699C" w:rsidP="008A50C8">
      <w:pPr>
        <w:pStyle w:val="Title-1-brochure"/>
        <w:rPr>
          <w:lang w:val="en-US"/>
        </w:rPr>
      </w:pPr>
    </w:p>
    <w:p w14:paraId="2046BA89" w14:textId="06D69A92" w:rsidR="00893E81" w:rsidRPr="008A50C8" w:rsidRDefault="0011699C" w:rsidP="0011699C">
      <w:pPr>
        <w:pStyle w:val="Title-1-brochure"/>
        <w:rPr>
          <w:lang w:val="en-US"/>
        </w:rPr>
      </w:pPr>
      <w:proofErr w:type="spellStart"/>
      <w:r w:rsidRPr="008A50C8">
        <w:rPr>
          <w:lang w:val="en-US"/>
        </w:rPr>
        <w:t>Conventie</w:t>
      </w:r>
      <w:proofErr w:type="spellEnd"/>
    </w:p>
    <w:p w14:paraId="5DC8FED3" w14:textId="70855936" w:rsidR="004F2209" w:rsidRDefault="004F2209" w:rsidP="008A50C8">
      <w:pPr>
        <w:jc w:val="center"/>
        <w:rPr>
          <w:lang w:val="nl-BE"/>
        </w:rPr>
      </w:pPr>
      <w:r>
        <w:rPr>
          <w:lang w:val="nl-BE"/>
        </w:rPr>
        <w:t>t</w:t>
      </w:r>
      <w:r w:rsidR="0011699C" w:rsidRPr="0011699C">
        <w:rPr>
          <w:lang w:val="nl-BE"/>
        </w:rPr>
        <w:t>ussen:</w:t>
      </w:r>
    </w:p>
    <w:p w14:paraId="34CC598B" w14:textId="01721D4D" w:rsidR="004F2209" w:rsidRDefault="0011699C" w:rsidP="0011699C">
      <w:pPr>
        <w:rPr>
          <w:lang w:val="nl-BE"/>
        </w:rPr>
      </w:pPr>
      <w:r w:rsidRPr="0011699C">
        <w:rPr>
          <w:lang w:val="nl-BE"/>
        </w:rPr>
        <w:t>de Belgische Staat, vertegenwoordigd door [</w:t>
      </w:r>
      <w:r w:rsidRPr="0011699C">
        <w:rPr>
          <w:highlight w:val="yellow"/>
          <w:lang w:val="nl-BE"/>
        </w:rPr>
        <w:t>XXX</w:t>
      </w:r>
      <w:r w:rsidRPr="0011699C">
        <w:rPr>
          <w:lang w:val="nl-BE"/>
        </w:rPr>
        <w:t xml:space="preserve">], </w:t>
      </w:r>
      <w:r w:rsidR="004F2209">
        <w:rPr>
          <w:highlight w:val="yellow"/>
          <w:lang w:val="nl-BE"/>
        </w:rPr>
        <w:t>m</w:t>
      </w:r>
      <w:r w:rsidRPr="0011699C">
        <w:rPr>
          <w:highlight w:val="yellow"/>
          <w:lang w:val="nl-BE"/>
        </w:rPr>
        <w:t xml:space="preserve">inister | </w:t>
      </w:r>
      <w:r w:rsidR="004F2209">
        <w:rPr>
          <w:highlight w:val="yellow"/>
          <w:lang w:val="nl-BE"/>
        </w:rPr>
        <w:t>s</w:t>
      </w:r>
      <w:r w:rsidRPr="0011699C">
        <w:rPr>
          <w:highlight w:val="yellow"/>
          <w:lang w:val="nl-BE"/>
        </w:rPr>
        <w:t>taatsecretaris</w:t>
      </w:r>
      <w:r w:rsidRPr="0011699C">
        <w:rPr>
          <w:lang w:val="nl-BE"/>
        </w:rPr>
        <w:t xml:space="preserve"> [</w:t>
      </w:r>
      <w:r w:rsidRPr="0011699C">
        <w:rPr>
          <w:highlight w:val="yellow"/>
          <w:lang w:val="nl-BE"/>
        </w:rPr>
        <w:t>XXX</w:t>
      </w:r>
      <w:r w:rsidRPr="0011699C">
        <w:rPr>
          <w:lang w:val="nl-BE"/>
        </w:rPr>
        <w:t xml:space="preserve">], hierna </w:t>
      </w:r>
      <w:r w:rsidR="004F2209">
        <w:rPr>
          <w:lang w:val="nl-BE"/>
        </w:rPr>
        <w:t>“</w:t>
      </w:r>
      <w:r w:rsidRPr="0011699C">
        <w:rPr>
          <w:lang w:val="nl-BE"/>
        </w:rPr>
        <w:t>de Staat</w:t>
      </w:r>
      <w:r w:rsidR="004F2209">
        <w:rPr>
          <w:lang w:val="nl-BE"/>
        </w:rPr>
        <w:t>”</w:t>
      </w:r>
      <w:r w:rsidRPr="0011699C">
        <w:rPr>
          <w:lang w:val="nl-BE"/>
        </w:rPr>
        <w:t xml:space="preserve"> genoemd,</w:t>
      </w:r>
    </w:p>
    <w:p w14:paraId="1B79EBA1" w14:textId="11DAD6DC" w:rsidR="0011699C" w:rsidRPr="0011699C" w:rsidRDefault="0011699C" w:rsidP="0011699C">
      <w:pPr>
        <w:rPr>
          <w:lang w:val="nl-BE"/>
        </w:rPr>
      </w:pPr>
      <w:r w:rsidRPr="0011699C">
        <w:rPr>
          <w:lang w:val="nl-BE"/>
        </w:rPr>
        <w:t>enerzijds,</w:t>
      </w:r>
      <w:r w:rsidR="004F2209">
        <w:rPr>
          <w:lang w:val="nl-BE"/>
        </w:rPr>
        <w:t xml:space="preserve"> </w:t>
      </w:r>
    </w:p>
    <w:p w14:paraId="4AB8C8ED" w14:textId="77777777" w:rsidR="004F2209" w:rsidRDefault="0011699C" w:rsidP="0011699C">
      <w:pPr>
        <w:rPr>
          <w:lang w:val="nl-BE"/>
        </w:rPr>
      </w:pPr>
      <w:r w:rsidRPr="0011699C">
        <w:rPr>
          <w:lang w:val="nl-BE"/>
        </w:rPr>
        <w:t>en:</w:t>
      </w:r>
    </w:p>
    <w:p w14:paraId="75751483" w14:textId="13717F22" w:rsidR="004F2209" w:rsidRDefault="0011699C" w:rsidP="0011699C">
      <w:pPr>
        <w:rPr>
          <w:lang w:val="nl-BE"/>
        </w:rPr>
      </w:pPr>
      <w:r w:rsidRPr="0011699C">
        <w:rPr>
          <w:highlight w:val="yellow"/>
          <w:lang w:val="nl-BE"/>
        </w:rPr>
        <w:t>XXXX, ondernemingsnummer XXXXXX, op geldige wijze vertegenwoordigd door de heer/mevrouw XXX, titel, rijksregisternummer,</w:t>
      </w:r>
      <w:r w:rsidRPr="0011699C">
        <w:rPr>
          <w:lang w:val="nl-BE"/>
        </w:rPr>
        <w:t xml:space="preserve"> </w:t>
      </w:r>
      <w:r w:rsidRPr="0011699C">
        <w:rPr>
          <w:highlight w:val="yellow"/>
          <w:lang w:val="nl-BE"/>
        </w:rPr>
        <w:t>waarvan de maatschappelijke zetel is gevestigd op het adres [nummer, straat, postcode, stad]</w:t>
      </w:r>
      <w:r w:rsidRPr="0011699C">
        <w:rPr>
          <w:lang w:val="nl-BE"/>
        </w:rPr>
        <w:t>, hierna "de aanvrager" genoemd,</w:t>
      </w:r>
    </w:p>
    <w:p w14:paraId="59060070" w14:textId="0426E5BA" w:rsidR="0011699C" w:rsidRPr="0011699C" w:rsidRDefault="0011699C" w:rsidP="0011699C">
      <w:pPr>
        <w:rPr>
          <w:lang w:val="nl-BE"/>
        </w:rPr>
      </w:pPr>
      <w:r w:rsidRPr="0011699C">
        <w:rPr>
          <w:lang w:val="nl-BE"/>
        </w:rPr>
        <w:t>anderzijds,</w:t>
      </w:r>
    </w:p>
    <w:p w14:paraId="2DC6B0CE" w14:textId="77777777" w:rsidR="0011699C" w:rsidRPr="0011699C" w:rsidRDefault="0011699C" w:rsidP="0011699C">
      <w:pPr>
        <w:rPr>
          <w:lang w:val="nl-BE"/>
        </w:rPr>
      </w:pPr>
      <w:r w:rsidRPr="0011699C">
        <w:rPr>
          <w:lang w:val="nl-BE"/>
        </w:rPr>
        <w:t>hierna gezamenlijk “de Partijen” genoemd.</w:t>
      </w:r>
    </w:p>
    <w:p w14:paraId="64A5706B" w14:textId="6347CC66" w:rsidR="0011699C" w:rsidRPr="0011699C" w:rsidRDefault="0011699C" w:rsidP="0011699C">
      <w:pPr>
        <w:rPr>
          <w:lang w:val="nl-BE"/>
        </w:rPr>
      </w:pPr>
      <w:r w:rsidRPr="0011699C">
        <w:rPr>
          <w:lang w:val="nl-BE"/>
        </w:rPr>
        <w:t xml:space="preserve">De </w:t>
      </w:r>
      <w:r w:rsidR="004F2209">
        <w:rPr>
          <w:lang w:val="nl-BE"/>
        </w:rPr>
        <w:t>P</w:t>
      </w:r>
      <w:r w:rsidRPr="0011699C">
        <w:rPr>
          <w:lang w:val="nl-BE"/>
        </w:rPr>
        <w:t>artijen hebben overeengekomen wat volgt.</w:t>
      </w:r>
    </w:p>
    <w:p w14:paraId="1DF7C496" w14:textId="77777777" w:rsidR="0011699C" w:rsidRPr="0011699C" w:rsidRDefault="0011699C" w:rsidP="0011699C">
      <w:pPr>
        <w:pStyle w:val="Titre3"/>
        <w:numPr>
          <w:ilvl w:val="0"/>
          <w:numId w:val="0"/>
        </w:numPr>
        <w:rPr>
          <w:lang w:val="nl-BE"/>
        </w:rPr>
      </w:pPr>
      <w:r w:rsidRPr="0011699C">
        <w:rPr>
          <w:lang w:val="nl-BE"/>
        </w:rPr>
        <w:t>Inleiding</w:t>
      </w:r>
    </w:p>
    <w:p w14:paraId="5F853186" w14:textId="4D897511" w:rsidR="0011699C" w:rsidRPr="0011699C" w:rsidRDefault="0011699C" w:rsidP="0011699C">
      <w:pPr>
        <w:rPr>
          <w:lang w:val="nl-BE"/>
        </w:rPr>
      </w:pPr>
      <w:r w:rsidRPr="0011699C">
        <w:rPr>
          <w:lang w:val="nl-BE"/>
        </w:rPr>
        <w:t xml:space="preserve">In toepassing van artikel 2.06.4 van de wet van 23 december 2021 houdende de algemene uitgavenbegroting voor het begrotingsjaar 2022, programma 41/1 – het klimaat, transitie en relance fonds, kent het koninklijk besluit van 21 april 2022 dat de gebruiksvoorwaarden voor het klimaat, transitie en relancefonds met betrekking tot as 1 “klimaat, duurzaamheid en innovatie”, deel 1.2 “opkomende energie technologieën”, ID I-1.15 “een industriële waardeketen voor de waterstof transitie” - hierna "het besluit" genoemd - een subsidie van </w:t>
      </w:r>
      <w:r w:rsidRPr="0011699C">
        <w:rPr>
          <w:highlight w:val="yellow"/>
          <w:lang w:val="nl-BE"/>
        </w:rPr>
        <w:t>XXXXXX</w:t>
      </w:r>
      <w:r w:rsidRPr="0011699C">
        <w:rPr>
          <w:lang w:val="nl-BE"/>
        </w:rPr>
        <w:t xml:space="preserve"> </w:t>
      </w:r>
      <w:r w:rsidR="004F2209">
        <w:rPr>
          <w:lang w:val="nl-BE"/>
        </w:rPr>
        <w:t>euro</w:t>
      </w:r>
      <w:r w:rsidRPr="0011699C">
        <w:rPr>
          <w:lang w:val="nl-BE"/>
        </w:rPr>
        <w:t xml:space="preserve"> toe aan de aanvrager. </w:t>
      </w:r>
    </w:p>
    <w:p w14:paraId="3D0370CD" w14:textId="77777777" w:rsidR="0011699C" w:rsidRPr="0011699C" w:rsidRDefault="0011699C" w:rsidP="0011699C">
      <w:pPr>
        <w:rPr>
          <w:lang w:val="nl-BE"/>
        </w:rPr>
      </w:pPr>
      <w:r w:rsidRPr="0011699C">
        <w:rPr>
          <w:lang w:val="nl-BE"/>
        </w:rPr>
        <w:t>Het besluit voorziet in het opstellen van een conventie met betrekking tot de toewijzing en het gebruik van de subsidie.</w:t>
      </w:r>
    </w:p>
    <w:p w14:paraId="70106A5B" w14:textId="2D5CEE82" w:rsidR="0011699C" w:rsidRPr="0011699C" w:rsidRDefault="0011699C" w:rsidP="0011699C">
      <w:pPr>
        <w:rPr>
          <w:lang w:val="nl-BE"/>
        </w:rPr>
      </w:pPr>
      <w:r w:rsidRPr="0011699C">
        <w:rPr>
          <w:lang w:val="nl-BE"/>
        </w:rPr>
        <w:t xml:space="preserve">De Staat wordt voor zijn contacten met de aanvrager en de uitvoering van onderhavig protocol vertegenwoordigd door </w:t>
      </w:r>
      <w:r w:rsidRPr="0011699C">
        <w:rPr>
          <w:highlight w:val="yellow"/>
          <w:lang w:val="nl-BE"/>
        </w:rPr>
        <w:t>XXXX</w:t>
      </w:r>
      <w:r w:rsidRPr="0011699C">
        <w:rPr>
          <w:lang w:val="nl-BE"/>
        </w:rPr>
        <w:t xml:space="preserve"> van de</w:t>
      </w:r>
      <w:r w:rsidR="00A609C2">
        <w:rPr>
          <w:lang w:val="nl-BE"/>
        </w:rPr>
        <w:t xml:space="preserve"> Algemene Directie </w:t>
      </w:r>
      <w:r w:rsidRPr="0011699C">
        <w:rPr>
          <w:lang w:val="nl-BE"/>
        </w:rPr>
        <w:t>Energie, hierna “de administratieve overheid” genoemd.</w:t>
      </w:r>
    </w:p>
    <w:p w14:paraId="4DD7A839" w14:textId="5D3F04D6" w:rsidR="0011699C" w:rsidRPr="0011699C" w:rsidRDefault="0011699C" w:rsidP="008673CE">
      <w:pPr>
        <w:pStyle w:val="Titre3"/>
        <w:numPr>
          <w:ilvl w:val="0"/>
          <w:numId w:val="0"/>
        </w:numPr>
        <w:rPr>
          <w:lang w:val="nl-BE"/>
        </w:rPr>
      </w:pPr>
      <w:r w:rsidRPr="0011699C">
        <w:rPr>
          <w:lang w:val="nl-BE"/>
        </w:rPr>
        <w:t>Artikel 1</w:t>
      </w:r>
      <w:r w:rsidRPr="008A50C8">
        <w:rPr>
          <w:lang w:val="nl-BE"/>
        </w:rPr>
        <w:t xml:space="preserve"> – </w:t>
      </w:r>
      <w:r w:rsidRPr="0011699C">
        <w:rPr>
          <w:lang w:val="nl-BE"/>
        </w:rPr>
        <w:t>Voorwerp van de conventie</w:t>
      </w:r>
    </w:p>
    <w:p w14:paraId="655D6CEB" w14:textId="20BD71F1" w:rsidR="0011699C" w:rsidRPr="0011699C" w:rsidRDefault="0011699C" w:rsidP="008673CE">
      <w:pPr>
        <w:rPr>
          <w:lang w:val="nl-BE"/>
        </w:rPr>
      </w:pPr>
      <w:r w:rsidRPr="0011699C">
        <w:rPr>
          <w:lang w:val="nl-BE"/>
        </w:rPr>
        <w:t>§ 1. Onderhavige conventie, onverminderd de juridische en reglementaire bepalingen met betrekking tot deze kwesties, de modaliteiten met betrekking tot de toekenning en het gebruik van bovenvermelde subsidie, alsook de samenwerkingsvoorwaarden tussen de partijen in deze context.</w:t>
      </w:r>
    </w:p>
    <w:p w14:paraId="45263440" w14:textId="5CA013EC" w:rsidR="0011699C" w:rsidRPr="0011699C" w:rsidRDefault="0011699C" w:rsidP="008673CE">
      <w:pPr>
        <w:rPr>
          <w:rFonts w:eastAsia="Times New Roman"/>
          <w:lang w:val="nl-BE"/>
        </w:rPr>
      </w:pPr>
      <w:bookmarkStart w:id="0" w:name="_Hlk71121957"/>
      <w:r w:rsidRPr="0011699C">
        <w:rPr>
          <w:lang w:val="nl-BE"/>
        </w:rPr>
        <w:t xml:space="preserve">Dit is de conventie bedoeld in artikel 13 van het </w:t>
      </w:r>
      <w:hyperlink r:id="rId12" w:history="1">
        <w:r w:rsidRPr="008A50C8">
          <w:rPr>
            <w:rStyle w:val="Lienhypertexte"/>
            <w:lang w:val="nl-BE"/>
          </w:rPr>
          <w:t>koninklijk besluit van 21 april 2022</w:t>
        </w:r>
      </w:hyperlink>
      <w:r w:rsidRPr="0011699C">
        <w:rPr>
          <w:lang w:val="nl-BE"/>
        </w:rPr>
        <w:t>.</w:t>
      </w:r>
    </w:p>
    <w:p w14:paraId="10EA75D8" w14:textId="2F9432F5" w:rsidR="0011699C" w:rsidRPr="0011699C" w:rsidRDefault="0011699C" w:rsidP="008673CE">
      <w:pPr>
        <w:rPr>
          <w:rFonts w:eastAsia="Times New Roman"/>
          <w:lang w:val="nl-BE"/>
        </w:rPr>
      </w:pPr>
      <w:r w:rsidRPr="0011699C">
        <w:rPr>
          <w:lang w:val="nl-BE"/>
        </w:rPr>
        <w:t xml:space="preserve">§ 2. Het gesubsidieerde project heeft betrekking op </w:t>
      </w:r>
      <w:r w:rsidRPr="0011699C">
        <w:rPr>
          <w:highlight w:val="yellow"/>
          <w:lang w:val="nl-BE"/>
        </w:rPr>
        <w:t xml:space="preserve">[Voorwerp van de subsidie, beknopte beschrijving van het project, opsommingen van de doelen/mijlpalen zoals goedgekeurd in het plan] </w:t>
      </w:r>
      <w:r w:rsidRPr="0011699C">
        <w:rPr>
          <w:lang w:val="nl-BE"/>
        </w:rPr>
        <w:t xml:space="preserve">en wordt aanvaard door de Staat op basis van het uitvoeringsbesluit van de Raad van de Europese </w:t>
      </w:r>
      <w:r w:rsidRPr="0011699C">
        <w:rPr>
          <w:lang w:val="nl-BE"/>
        </w:rPr>
        <w:lastRenderedPageBreak/>
        <w:t xml:space="preserve">unie betreffende de goedkeuring van de beoordeling van het </w:t>
      </w:r>
      <w:r w:rsidR="00E06F56">
        <w:rPr>
          <w:lang w:val="nl-BE"/>
        </w:rPr>
        <w:t>h</w:t>
      </w:r>
      <w:r w:rsidRPr="0011699C">
        <w:rPr>
          <w:lang w:val="nl-BE"/>
        </w:rPr>
        <w:t xml:space="preserve">erstel- en </w:t>
      </w:r>
      <w:r w:rsidR="00E06F56">
        <w:rPr>
          <w:lang w:val="nl-BE"/>
        </w:rPr>
        <w:t>v</w:t>
      </w:r>
      <w:r w:rsidRPr="0011699C">
        <w:rPr>
          <w:lang w:val="nl-BE"/>
        </w:rPr>
        <w:t>eerkrachtplan voor België.</w:t>
      </w:r>
    </w:p>
    <w:p w14:paraId="1F469A65" w14:textId="6BF12342" w:rsidR="0011699C" w:rsidRPr="0011699C" w:rsidRDefault="0011699C" w:rsidP="008673CE">
      <w:pPr>
        <w:pStyle w:val="Titre3"/>
        <w:numPr>
          <w:ilvl w:val="0"/>
          <w:numId w:val="0"/>
        </w:numPr>
        <w:rPr>
          <w:rFonts w:cstheme="majorHAnsi"/>
          <w:bCs/>
          <w:lang w:val="nl-BE"/>
        </w:rPr>
      </w:pPr>
      <w:r w:rsidRPr="0011699C">
        <w:rPr>
          <w:lang w:val="nl-BE"/>
        </w:rPr>
        <w:t>Artikel 2</w:t>
      </w:r>
      <w:r w:rsidRPr="00193610">
        <w:rPr>
          <w:lang w:val="nl-BE"/>
        </w:rPr>
        <w:t xml:space="preserve"> – </w:t>
      </w:r>
      <w:r w:rsidRPr="0011699C">
        <w:rPr>
          <w:lang w:val="nl-BE"/>
        </w:rPr>
        <w:t>Meerjarenplanning van de subsidie</w:t>
      </w:r>
    </w:p>
    <w:p w14:paraId="6158812E" w14:textId="6373A5DC" w:rsidR="0011699C" w:rsidRPr="0011699C" w:rsidRDefault="0011699C" w:rsidP="008673CE">
      <w:pPr>
        <w:spacing w:after="240"/>
        <w:rPr>
          <w:rFonts w:cstheme="majorHAnsi"/>
          <w:lang w:val="nl-BE"/>
        </w:rPr>
      </w:pPr>
      <w:r w:rsidRPr="0011699C">
        <w:rPr>
          <w:lang w:val="nl-BE"/>
        </w:rPr>
        <w:t xml:space="preserve">§ 1. Het bedrag van de subsidie </w:t>
      </w:r>
      <w:r w:rsidRPr="0011699C">
        <w:rPr>
          <w:highlight w:val="yellow"/>
          <w:lang w:val="nl-BE"/>
        </w:rPr>
        <w:t xml:space="preserve">exclusief </w:t>
      </w:r>
      <w:r w:rsidR="00BC4F82">
        <w:rPr>
          <w:highlight w:val="yellow"/>
          <w:lang w:val="nl-BE"/>
        </w:rPr>
        <w:t>btw</w:t>
      </w:r>
      <w:r w:rsidRPr="0011699C">
        <w:rPr>
          <w:lang w:val="nl-BE"/>
        </w:rPr>
        <w:t xml:space="preserve"> wordt verdeeld over de jaren *** in vastleggings- en in vereffeningskredieten volgens het hieronder vermelde tijdschema.</w:t>
      </w:r>
    </w:p>
    <w:tbl>
      <w:tblPr>
        <w:tblStyle w:val="Grilledutableau"/>
        <w:tblW w:w="5000" w:type="pct"/>
        <w:tblLook w:val="04A0" w:firstRow="1" w:lastRow="0" w:firstColumn="1" w:lastColumn="0" w:noHBand="0" w:noVBand="1"/>
      </w:tblPr>
      <w:tblGrid>
        <w:gridCol w:w="2177"/>
        <w:gridCol w:w="1059"/>
        <w:gridCol w:w="1053"/>
        <w:gridCol w:w="1053"/>
        <w:gridCol w:w="1053"/>
        <w:gridCol w:w="1053"/>
        <w:gridCol w:w="1046"/>
      </w:tblGrid>
      <w:tr w:rsidR="008673CE" w:rsidRPr="00485AFC" w14:paraId="125A1451" w14:textId="77777777" w:rsidTr="008A50C8">
        <w:tc>
          <w:tcPr>
            <w:tcW w:w="1281" w:type="pct"/>
          </w:tcPr>
          <w:p w14:paraId="279F8A32" w14:textId="77777777" w:rsidR="008673CE" w:rsidRPr="008A50C8" w:rsidRDefault="008673CE" w:rsidP="00356B2B">
            <w:pPr>
              <w:pStyle w:val="Table"/>
              <w:rPr>
                <w:lang w:val="nl-BE"/>
              </w:rPr>
            </w:pPr>
          </w:p>
        </w:tc>
        <w:tc>
          <w:tcPr>
            <w:tcW w:w="623" w:type="pct"/>
            <w:vAlign w:val="center"/>
          </w:tcPr>
          <w:p w14:paraId="2E8563AD" w14:textId="77777777" w:rsidR="008673CE" w:rsidRPr="00386309" w:rsidRDefault="008673CE" w:rsidP="00356B2B">
            <w:pPr>
              <w:pStyle w:val="Table"/>
              <w:jc w:val="center"/>
              <w:rPr>
                <w:lang w:val="fr-FR"/>
              </w:rPr>
            </w:pPr>
            <w:r w:rsidRPr="00386309">
              <w:rPr>
                <w:lang w:val="fr-FR"/>
              </w:rPr>
              <w:t>202*</w:t>
            </w:r>
          </w:p>
        </w:tc>
        <w:tc>
          <w:tcPr>
            <w:tcW w:w="620" w:type="pct"/>
            <w:vAlign w:val="center"/>
          </w:tcPr>
          <w:p w14:paraId="4E4DB093" w14:textId="77777777" w:rsidR="008673CE" w:rsidRPr="00386309" w:rsidRDefault="008673CE" w:rsidP="00356B2B">
            <w:pPr>
              <w:pStyle w:val="Table"/>
              <w:jc w:val="center"/>
              <w:rPr>
                <w:lang w:val="fr-FR"/>
              </w:rPr>
            </w:pPr>
            <w:r w:rsidRPr="00386309">
              <w:rPr>
                <w:lang w:val="fr-FR"/>
              </w:rPr>
              <w:t>202*</w:t>
            </w:r>
          </w:p>
        </w:tc>
        <w:tc>
          <w:tcPr>
            <w:tcW w:w="620" w:type="pct"/>
            <w:vAlign w:val="center"/>
          </w:tcPr>
          <w:p w14:paraId="157BD13F" w14:textId="77777777" w:rsidR="008673CE" w:rsidRPr="00386309" w:rsidRDefault="008673CE" w:rsidP="00356B2B">
            <w:pPr>
              <w:pStyle w:val="Table"/>
              <w:jc w:val="center"/>
              <w:rPr>
                <w:lang w:val="fr-FR"/>
              </w:rPr>
            </w:pPr>
            <w:r w:rsidRPr="00386309">
              <w:rPr>
                <w:lang w:val="fr-FR"/>
              </w:rPr>
              <w:t>202*</w:t>
            </w:r>
          </w:p>
        </w:tc>
        <w:tc>
          <w:tcPr>
            <w:tcW w:w="620" w:type="pct"/>
            <w:vAlign w:val="center"/>
          </w:tcPr>
          <w:p w14:paraId="4A170932" w14:textId="77777777" w:rsidR="008673CE" w:rsidRPr="00386309" w:rsidRDefault="008673CE" w:rsidP="00356B2B">
            <w:pPr>
              <w:pStyle w:val="Table"/>
              <w:jc w:val="center"/>
              <w:rPr>
                <w:lang w:val="fr-FR"/>
              </w:rPr>
            </w:pPr>
            <w:r w:rsidRPr="00386309">
              <w:rPr>
                <w:lang w:val="fr-FR"/>
              </w:rPr>
              <w:t>202*</w:t>
            </w:r>
          </w:p>
        </w:tc>
        <w:tc>
          <w:tcPr>
            <w:tcW w:w="620" w:type="pct"/>
            <w:vAlign w:val="center"/>
          </w:tcPr>
          <w:p w14:paraId="70C89C8D" w14:textId="77777777" w:rsidR="008673CE" w:rsidRPr="00386309" w:rsidRDefault="008673CE" w:rsidP="00356B2B">
            <w:pPr>
              <w:pStyle w:val="Table"/>
              <w:jc w:val="center"/>
              <w:rPr>
                <w:lang w:val="fr-FR"/>
              </w:rPr>
            </w:pPr>
            <w:r w:rsidRPr="00386309">
              <w:rPr>
                <w:lang w:val="fr-FR"/>
              </w:rPr>
              <w:t>202*</w:t>
            </w:r>
          </w:p>
        </w:tc>
        <w:tc>
          <w:tcPr>
            <w:tcW w:w="617" w:type="pct"/>
            <w:vAlign w:val="center"/>
          </w:tcPr>
          <w:p w14:paraId="5B2AC1CF" w14:textId="77777777" w:rsidR="008673CE" w:rsidRPr="00386309" w:rsidRDefault="008673CE" w:rsidP="00356B2B">
            <w:pPr>
              <w:pStyle w:val="Table"/>
              <w:jc w:val="center"/>
              <w:rPr>
                <w:lang w:val="fr-FR"/>
              </w:rPr>
            </w:pPr>
            <w:r w:rsidRPr="00386309">
              <w:rPr>
                <w:lang w:val="fr-FR"/>
              </w:rPr>
              <w:t>202*</w:t>
            </w:r>
          </w:p>
        </w:tc>
      </w:tr>
      <w:tr w:rsidR="008673CE" w:rsidRPr="00485AFC" w14:paraId="10578D37" w14:textId="77777777" w:rsidTr="008A50C8">
        <w:tc>
          <w:tcPr>
            <w:tcW w:w="1281" w:type="pct"/>
          </w:tcPr>
          <w:p w14:paraId="24CA3368" w14:textId="14336C58" w:rsidR="008673CE" w:rsidRPr="008A50C8" w:rsidRDefault="008673CE" w:rsidP="00356B2B">
            <w:pPr>
              <w:pStyle w:val="Table"/>
              <w:spacing w:before="60" w:after="60"/>
              <w:rPr>
                <w:lang w:val="nl-NL"/>
              </w:rPr>
            </w:pPr>
            <w:r w:rsidRPr="00193610">
              <w:rPr>
                <w:lang w:val="nl-NL"/>
              </w:rPr>
              <w:t>Va</w:t>
            </w:r>
            <w:r w:rsidR="003560ED">
              <w:rPr>
                <w:lang w:val="nl-NL"/>
              </w:rPr>
              <w:t>stleggings</w:t>
            </w:r>
            <w:r w:rsidRPr="008A50C8">
              <w:rPr>
                <w:lang w:val="nl-NL"/>
              </w:rPr>
              <w:t>k</w:t>
            </w:r>
            <w:r w:rsidR="003560ED">
              <w:rPr>
                <w:lang w:val="nl-NL"/>
              </w:rPr>
              <w:t>rediet</w:t>
            </w:r>
          </w:p>
        </w:tc>
        <w:tc>
          <w:tcPr>
            <w:tcW w:w="623" w:type="pct"/>
          </w:tcPr>
          <w:p w14:paraId="7C22D74C" w14:textId="77777777" w:rsidR="008673CE" w:rsidRPr="00386309" w:rsidRDefault="008673CE" w:rsidP="00814391">
            <w:pPr>
              <w:pStyle w:val="Table"/>
              <w:spacing w:before="60" w:after="60"/>
              <w:rPr>
                <w:lang w:val="fr-FR"/>
              </w:rPr>
            </w:pPr>
          </w:p>
        </w:tc>
        <w:tc>
          <w:tcPr>
            <w:tcW w:w="620" w:type="pct"/>
          </w:tcPr>
          <w:p w14:paraId="5FAA797D" w14:textId="77777777" w:rsidR="008673CE" w:rsidRPr="00386309" w:rsidRDefault="008673CE" w:rsidP="00814391">
            <w:pPr>
              <w:pStyle w:val="Table"/>
              <w:spacing w:before="60" w:after="60"/>
              <w:rPr>
                <w:lang w:val="fr-FR"/>
              </w:rPr>
            </w:pPr>
          </w:p>
        </w:tc>
        <w:tc>
          <w:tcPr>
            <w:tcW w:w="620" w:type="pct"/>
          </w:tcPr>
          <w:p w14:paraId="2A03AC6B" w14:textId="77777777" w:rsidR="008673CE" w:rsidRPr="00386309" w:rsidRDefault="008673CE" w:rsidP="00814391">
            <w:pPr>
              <w:pStyle w:val="Table"/>
              <w:spacing w:before="60" w:after="60"/>
              <w:rPr>
                <w:lang w:val="fr-FR"/>
              </w:rPr>
            </w:pPr>
          </w:p>
        </w:tc>
        <w:tc>
          <w:tcPr>
            <w:tcW w:w="620" w:type="pct"/>
          </w:tcPr>
          <w:p w14:paraId="69FA4FF2" w14:textId="77777777" w:rsidR="008673CE" w:rsidRPr="00386309" w:rsidRDefault="008673CE" w:rsidP="00814391">
            <w:pPr>
              <w:pStyle w:val="Table"/>
              <w:spacing w:before="60" w:after="60"/>
              <w:rPr>
                <w:lang w:val="fr-FR"/>
              </w:rPr>
            </w:pPr>
          </w:p>
        </w:tc>
        <w:tc>
          <w:tcPr>
            <w:tcW w:w="620" w:type="pct"/>
          </w:tcPr>
          <w:p w14:paraId="42D9F744" w14:textId="77777777" w:rsidR="008673CE" w:rsidRPr="00386309" w:rsidRDefault="008673CE" w:rsidP="00814391">
            <w:pPr>
              <w:pStyle w:val="Table"/>
              <w:spacing w:before="60" w:after="60"/>
              <w:rPr>
                <w:lang w:val="fr-FR"/>
              </w:rPr>
            </w:pPr>
          </w:p>
        </w:tc>
        <w:tc>
          <w:tcPr>
            <w:tcW w:w="617" w:type="pct"/>
          </w:tcPr>
          <w:p w14:paraId="3EEFCB50" w14:textId="77777777" w:rsidR="008673CE" w:rsidRPr="00386309" w:rsidRDefault="008673CE" w:rsidP="00814391">
            <w:pPr>
              <w:pStyle w:val="Table"/>
              <w:spacing w:before="60" w:after="60"/>
              <w:rPr>
                <w:lang w:val="fr-FR"/>
              </w:rPr>
            </w:pPr>
          </w:p>
        </w:tc>
      </w:tr>
      <w:tr w:rsidR="008673CE" w:rsidRPr="00485AFC" w14:paraId="2B1E225C" w14:textId="77777777" w:rsidTr="008A50C8">
        <w:tc>
          <w:tcPr>
            <w:tcW w:w="1281" w:type="pct"/>
          </w:tcPr>
          <w:p w14:paraId="09D11F98" w14:textId="16B5D460" w:rsidR="008673CE" w:rsidRPr="00386309" w:rsidRDefault="008673CE" w:rsidP="00356B2B">
            <w:pPr>
              <w:pStyle w:val="Table"/>
              <w:spacing w:before="60" w:after="60"/>
              <w:rPr>
                <w:lang w:val="fr-FR"/>
              </w:rPr>
            </w:pPr>
            <w:proofErr w:type="spellStart"/>
            <w:r>
              <w:rPr>
                <w:lang w:val="fr-FR"/>
              </w:rPr>
              <w:t>Ve</w:t>
            </w:r>
            <w:r w:rsidR="003560ED">
              <w:rPr>
                <w:lang w:val="fr-FR"/>
              </w:rPr>
              <w:t>reffenings</w:t>
            </w:r>
            <w:r>
              <w:rPr>
                <w:lang w:val="fr-FR"/>
              </w:rPr>
              <w:t>k</w:t>
            </w:r>
            <w:r w:rsidR="003560ED">
              <w:rPr>
                <w:lang w:val="fr-FR"/>
              </w:rPr>
              <w:t>rediet</w:t>
            </w:r>
            <w:proofErr w:type="spellEnd"/>
          </w:p>
        </w:tc>
        <w:tc>
          <w:tcPr>
            <w:tcW w:w="623" w:type="pct"/>
          </w:tcPr>
          <w:p w14:paraId="36B5CEEE" w14:textId="77777777" w:rsidR="008673CE" w:rsidRPr="00386309" w:rsidRDefault="008673CE" w:rsidP="00814391">
            <w:pPr>
              <w:pStyle w:val="Table"/>
              <w:spacing w:before="60" w:after="60"/>
              <w:rPr>
                <w:lang w:val="fr-FR"/>
              </w:rPr>
            </w:pPr>
          </w:p>
        </w:tc>
        <w:tc>
          <w:tcPr>
            <w:tcW w:w="620" w:type="pct"/>
          </w:tcPr>
          <w:p w14:paraId="77D04996" w14:textId="77777777" w:rsidR="008673CE" w:rsidRPr="00386309" w:rsidRDefault="008673CE" w:rsidP="00814391">
            <w:pPr>
              <w:pStyle w:val="Table"/>
              <w:spacing w:before="60" w:after="60"/>
              <w:rPr>
                <w:lang w:val="fr-FR"/>
              </w:rPr>
            </w:pPr>
          </w:p>
        </w:tc>
        <w:tc>
          <w:tcPr>
            <w:tcW w:w="620" w:type="pct"/>
          </w:tcPr>
          <w:p w14:paraId="0CA40A7D" w14:textId="77777777" w:rsidR="008673CE" w:rsidRPr="00386309" w:rsidRDefault="008673CE" w:rsidP="00814391">
            <w:pPr>
              <w:pStyle w:val="Table"/>
              <w:spacing w:before="60" w:after="60"/>
              <w:rPr>
                <w:lang w:val="fr-FR"/>
              </w:rPr>
            </w:pPr>
          </w:p>
        </w:tc>
        <w:tc>
          <w:tcPr>
            <w:tcW w:w="620" w:type="pct"/>
          </w:tcPr>
          <w:p w14:paraId="0C330ECB" w14:textId="77777777" w:rsidR="008673CE" w:rsidRPr="00386309" w:rsidRDefault="008673CE" w:rsidP="00814391">
            <w:pPr>
              <w:pStyle w:val="Table"/>
              <w:spacing w:before="60" w:after="60"/>
              <w:rPr>
                <w:lang w:val="fr-FR"/>
              </w:rPr>
            </w:pPr>
          </w:p>
        </w:tc>
        <w:tc>
          <w:tcPr>
            <w:tcW w:w="620" w:type="pct"/>
          </w:tcPr>
          <w:p w14:paraId="1DCB29C3" w14:textId="77777777" w:rsidR="008673CE" w:rsidRPr="00386309" w:rsidRDefault="008673CE" w:rsidP="00814391">
            <w:pPr>
              <w:pStyle w:val="Table"/>
              <w:spacing w:before="60" w:after="60"/>
              <w:rPr>
                <w:lang w:val="fr-FR"/>
              </w:rPr>
            </w:pPr>
          </w:p>
        </w:tc>
        <w:tc>
          <w:tcPr>
            <w:tcW w:w="617" w:type="pct"/>
          </w:tcPr>
          <w:p w14:paraId="160DD12B" w14:textId="77777777" w:rsidR="008673CE" w:rsidRPr="00386309" w:rsidRDefault="008673CE" w:rsidP="00814391">
            <w:pPr>
              <w:pStyle w:val="Table"/>
              <w:spacing w:before="60" w:after="60"/>
              <w:rPr>
                <w:lang w:val="fr-FR"/>
              </w:rPr>
            </w:pPr>
          </w:p>
        </w:tc>
      </w:tr>
    </w:tbl>
    <w:p w14:paraId="4675E02D" w14:textId="66AEE65A" w:rsidR="0011699C" w:rsidRPr="0011699C" w:rsidRDefault="0011699C" w:rsidP="008673CE">
      <w:pPr>
        <w:spacing w:after="240"/>
        <w:rPr>
          <w:lang w:val="nl-BE"/>
        </w:rPr>
      </w:pPr>
      <w:r w:rsidRPr="0011699C">
        <w:rPr>
          <w:lang w:val="nl-BE"/>
        </w:rPr>
        <w:t xml:space="preserve">§ 2. Het bedrag van de subsidie </w:t>
      </w:r>
      <w:r w:rsidRPr="0011699C">
        <w:rPr>
          <w:highlight w:val="yellow"/>
          <w:lang w:val="nl-BE"/>
        </w:rPr>
        <w:t>voor</w:t>
      </w:r>
      <w:r w:rsidRPr="0011699C">
        <w:rPr>
          <w:lang w:val="nl-BE"/>
        </w:rPr>
        <w:t xml:space="preserve"> </w:t>
      </w:r>
      <w:r w:rsidRPr="0011699C">
        <w:rPr>
          <w:highlight w:val="yellow"/>
          <w:lang w:val="nl-BE"/>
        </w:rPr>
        <w:t xml:space="preserve">de </w:t>
      </w:r>
      <w:r w:rsidR="00BC4F82">
        <w:rPr>
          <w:highlight w:val="yellow"/>
          <w:lang w:val="nl-BE"/>
        </w:rPr>
        <w:t>btw</w:t>
      </w:r>
      <w:r w:rsidRPr="0011699C">
        <w:rPr>
          <w:lang w:val="nl-BE"/>
        </w:rPr>
        <w:t xml:space="preserve"> wordt verdeeld over de jaren </w:t>
      </w:r>
      <w:r w:rsidRPr="0011699C">
        <w:rPr>
          <w:highlight w:val="yellow"/>
          <w:lang w:val="nl-BE"/>
        </w:rPr>
        <w:t>***</w:t>
      </w:r>
      <w:r w:rsidRPr="0011699C">
        <w:rPr>
          <w:lang w:val="nl-BE"/>
        </w:rPr>
        <w:t xml:space="preserve"> in vastleggings- en in vereffeningskredieten volgens het hieronder vermelde tijdschema.</w:t>
      </w:r>
    </w:p>
    <w:tbl>
      <w:tblPr>
        <w:tblStyle w:val="Grilledutableau"/>
        <w:tblW w:w="5000" w:type="pct"/>
        <w:tblLook w:val="04A0" w:firstRow="1" w:lastRow="0" w:firstColumn="1" w:lastColumn="0" w:noHBand="0" w:noVBand="1"/>
      </w:tblPr>
      <w:tblGrid>
        <w:gridCol w:w="2177"/>
        <w:gridCol w:w="1059"/>
        <w:gridCol w:w="1053"/>
        <w:gridCol w:w="1053"/>
        <w:gridCol w:w="1053"/>
        <w:gridCol w:w="1053"/>
        <w:gridCol w:w="1046"/>
      </w:tblGrid>
      <w:tr w:rsidR="008673CE" w:rsidRPr="00485AFC" w14:paraId="0BEE26C0" w14:textId="77777777" w:rsidTr="00814391">
        <w:tc>
          <w:tcPr>
            <w:tcW w:w="1281" w:type="pct"/>
          </w:tcPr>
          <w:p w14:paraId="49E7D957" w14:textId="77777777" w:rsidR="008673CE" w:rsidRPr="00193610" w:rsidRDefault="008673CE" w:rsidP="00356B2B">
            <w:pPr>
              <w:pStyle w:val="Table"/>
              <w:rPr>
                <w:lang w:val="nl-BE"/>
              </w:rPr>
            </w:pPr>
          </w:p>
        </w:tc>
        <w:tc>
          <w:tcPr>
            <w:tcW w:w="623" w:type="pct"/>
            <w:vAlign w:val="center"/>
          </w:tcPr>
          <w:p w14:paraId="5E89B632" w14:textId="77777777" w:rsidR="008673CE" w:rsidRPr="00386309" w:rsidRDefault="008673CE" w:rsidP="00356B2B">
            <w:pPr>
              <w:pStyle w:val="Table"/>
              <w:jc w:val="center"/>
              <w:rPr>
                <w:lang w:val="fr-FR"/>
              </w:rPr>
            </w:pPr>
            <w:r w:rsidRPr="00386309">
              <w:rPr>
                <w:lang w:val="fr-FR"/>
              </w:rPr>
              <w:t>202*</w:t>
            </w:r>
          </w:p>
        </w:tc>
        <w:tc>
          <w:tcPr>
            <w:tcW w:w="620" w:type="pct"/>
            <w:vAlign w:val="center"/>
          </w:tcPr>
          <w:p w14:paraId="641F82F7" w14:textId="77777777" w:rsidR="008673CE" w:rsidRPr="00386309" w:rsidRDefault="008673CE" w:rsidP="00356B2B">
            <w:pPr>
              <w:pStyle w:val="Table"/>
              <w:jc w:val="center"/>
              <w:rPr>
                <w:lang w:val="fr-FR"/>
              </w:rPr>
            </w:pPr>
            <w:r w:rsidRPr="00386309">
              <w:rPr>
                <w:lang w:val="fr-FR"/>
              </w:rPr>
              <w:t>202*</w:t>
            </w:r>
          </w:p>
        </w:tc>
        <w:tc>
          <w:tcPr>
            <w:tcW w:w="620" w:type="pct"/>
            <w:vAlign w:val="center"/>
          </w:tcPr>
          <w:p w14:paraId="27F01FAA" w14:textId="77777777" w:rsidR="008673CE" w:rsidRPr="00386309" w:rsidRDefault="008673CE" w:rsidP="00356B2B">
            <w:pPr>
              <w:pStyle w:val="Table"/>
              <w:jc w:val="center"/>
              <w:rPr>
                <w:lang w:val="fr-FR"/>
              </w:rPr>
            </w:pPr>
            <w:r w:rsidRPr="00386309">
              <w:rPr>
                <w:lang w:val="fr-FR"/>
              </w:rPr>
              <w:t>202*</w:t>
            </w:r>
          </w:p>
        </w:tc>
        <w:tc>
          <w:tcPr>
            <w:tcW w:w="620" w:type="pct"/>
            <w:vAlign w:val="center"/>
          </w:tcPr>
          <w:p w14:paraId="41FB7FBE" w14:textId="77777777" w:rsidR="008673CE" w:rsidRPr="00386309" w:rsidRDefault="008673CE" w:rsidP="00356B2B">
            <w:pPr>
              <w:pStyle w:val="Table"/>
              <w:jc w:val="center"/>
              <w:rPr>
                <w:lang w:val="fr-FR"/>
              </w:rPr>
            </w:pPr>
            <w:r w:rsidRPr="00386309">
              <w:rPr>
                <w:lang w:val="fr-FR"/>
              </w:rPr>
              <w:t>202*</w:t>
            </w:r>
          </w:p>
        </w:tc>
        <w:tc>
          <w:tcPr>
            <w:tcW w:w="620" w:type="pct"/>
            <w:vAlign w:val="center"/>
          </w:tcPr>
          <w:p w14:paraId="686084B2" w14:textId="77777777" w:rsidR="008673CE" w:rsidRPr="00386309" w:rsidRDefault="008673CE" w:rsidP="00356B2B">
            <w:pPr>
              <w:pStyle w:val="Table"/>
              <w:jc w:val="center"/>
              <w:rPr>
                <w:lang w:val="fr-FR"/>
              </w:rPr>
            </w:pPr>
            <w:r w:rsidRPr="00386309">
              <w:rPr>
                <w:lang w:val="fr-FR"/>
              </w:rPr>
              <w:t>202*</w:t>
            </w:r>
          </w:p>
        </w:tc>
        <w:tc>
          <w:tcPr>
            <w:tcW w:w="616" w:type="pct"/>
            <w:vAlign w:val="center"/>
          </w:tcPr>
          <w:p w14:paraId="59CF9759" w14:textId="77777777" w:rsidR="008673CE" w:rsidRPr="00386309" w:rsidRDefault="008673CE" w:rsidP="00356B2B">
            <w:pPr>
              <w:pStyle w:val="Table"/>
              <w:jc w:val="center"/>
              <w:rPr>
                <w:lang w:val="fr-FR"/>
              </w:rPr>
            </w:pPr>
            <w:r w:rsidRPr="00386309">
              <w:rPr>
                <w:lang w:val="fr-FR"/>
              </w:rPr>
              <w:t>202*</w:t>
            </w:r>
          </w:p>
        </w:tc>
      </w:tr>
      <w:tr w:rsidR="008673CE" w:rsidRPr="00485AFC" w14:paraId="040340B3" w14:textId="77777777" w:rsidTr="00814391">
        <w:tc>
          <w:tcPr>
            <w:tcW w:w="1281" w:type="pct"/>
          </w:tcPr>
          <w:p w14:paraId="4A513910" w14:textId="459227C4" w:rsidR="008673CE" w:rsidRPr="00386309" w:rsidRDefault="008673CE" w:rsidP="00356B2B">
            <w:pPr>
              <w:pStyle w:val="Table"/>
              <w:spacing w:before="60" w:after="60"/>
              <w:rPr>
                <w:lang w:val="fr-FR"/>
              </w:rPr>
            </w:pPr>
            <w:proofErr w:type="spellStart"/>
            <w:r>
              <w:rPr>
                <w:lang w:val="fr-FR"/>
              </w:rPr>
              <w:t>Va</w:t>
            </w:r>
            <w:r w:rsidR="003560ED">
              <w:rPr>
                <w:lang w:val="fr-FR"/>
              </w:rPr>
              <w:t>stleggings</w:t>
            </w:r>
            <w:r>
              <w:rPr>
                <w:lang w:val="fr-FR"/>
              </w:rPr>
              <w:t>k</w:t>
            </w:r>
            <w:r w:rsidR="003560ED">
              <w:rPr>
                <w:lang w:val="fr-FR"/>
              </w:rPr>
              <w:t>rediet</w:t>
            </w:r>
            <w:proofErr w:type="spellEnd"/>
          </w:p>
        </w:tc>
        <w:tc>
          <w:tcPr>
            <w:tcW w:w="623" w:type="pct"/>
          </w:tcPr>
          <w:p w14:paraId="29070630" w14:textId="77777777" w:rsidR="008673CE" w:rsidRPr="00386309" w:rsidRDefault="008673CE" w:rsidP="00193610">
            <w:pPr>
              <w:pStyle w:val="Table"/>
              <w:spacing w:before="60" w:after="60"/>
              <w:rPr>
                <w:lang w:val="fr-FR"/>
              </w:rPr>
            </w:pPr>
          </w:p>
        </w:tc>
        <w:tc>
          <w:tcPr>
            <w:tcW w:w="620" w:type="pct"/>
          </w:tcPr>
          <w:p w14:paraId="0D851E15" w14:textId="77777777" w:rsidR="008673CE" w:rsidRPr="00386309" w:rsidRDefault="008673CE" w:rsidP="00193610">
            <w:pPr>
              <w:pStyle w:val="Table"/>
              <w:spacing w:before="60" w:after="60"/>
              <w:rPr>
                <w:lang w:val="fr-FR"/>
              </w:rPr>
            </w:pPr>
          </w:p>
        </w:tc>
        <w:tc>
          <w:tcPr>
            <w:tcW w:w="620" w:type="pct"/>
          </w:tcPr>
          <w:p w14:paraId="46DFB969" w14:textId="77777777" w:rsidR="008673CE" w:rsidRPr="00386309" w:rsidRDefault="008673CE" w:rsidP="00193610">
            <w:pPr>
              <w:pStyle w:val="Table"/>
              <w:spacing w:before="60" w:after="60"/>
              <w:rPr>
                <w:lang w:val="fr-FR"/>
              </w:rPr>
            </w:pPr>
          </w:p>
        </w:tc>
        <w:tc>
          <w:tcPr>
            <w:tcW w:w="620" w:type="pct"/>
          </w:tcPr>
          <w:p w14:paraId="0FD8CA50" w14:textId="77777777" w:rsidR="008673CE" w:rsidRPr="00386309" w:rsidRDefault="008673CE" w:rsidP="00193610">
            <w:pPr>
              <w:pStyle w:val="Table"/>
              <w:spacing w:before="60" w:after="60"/>
              <w:rPr>
                <w:lang w:val="fr-FR"/>
              </w:rPr>
            </w:pPr>
          </w:p>
        </w:tc>
        <w:tc>
          <w:tcPr>
            <w:tcW w:w="620" w:type="pct"/>
          </w:tcPr>
          <w:p w14:paraId="0AD61863" w14:textId="77777777" w:rsidR="008673CE" w:rsidRPr="00386309" w:rsidRDefault="008673CE" w:rsidP="00193610">
            <w:pPr>
              <w:pStyle w:val="Table"/>
              <w:spacing w:before="60" w:after="60"/>
              <w:rPr>
                <w:lang w:val="fr-FR"/>
              </w:rPr>
            </w:pPr>
          </w:p>
        </w:tc>
        <w:tc>
          <w:tcPr>
            <w:tcW w:w="616" w:type="pct"/>
          </w:tcPr>
          <w:p w14:paraId="52723FB7" w14:textId="77777777" w:rsidR="008673CE" w:rsidRPr="00386309" w:rsidRDefault="008673CE" w:rsidP="00193610">
            <w:pPr>
              <w:pStyle w:val="Table"/>
              <w:spacing w:before="60" w:after="60"/>
              <w:rPr>
                <w:lang w:val="fr-FR"/>
              </w:rPr>
            </w:pPr>
          </w:p>
        </w:tc>
      </w:tr>
      <w:tr w:rsidR="008673CE" w:rsidRPr="00485AFC" w14:paraId="1B9F01EB" w14:textId="77777777" w:rsidTr="00814391">
        <w:tc>
          <w:tcPr>
            <w:tcW w:w="1281" w:type="pct"/>
          </w:tcPr>
          <w:p w14:paraId="0BD5D81D" w14:textId="7FF1D7FE" w:rsidR="008673CE" w:rsidRPr="00386309" w:rsidRDefault="008673CE" w:rsidP="00356B2B">
            <w:pPr>
              <w:pStyle w:val="Table"/>
              <w:spacing w:before="60" w:after="60"/>
              <w:rPr>
                <w:lang w:val="fr-FR"/>
              </w:rPr>
            </w:pPr>
            <w:proofErr w:type="spellStart"/>
            <w:r>
              <w:rPr>
                <w:lang w:val="fr-FR"/>
              </w:rPr>
              <w:t>Ve</w:t>
            </w:r>
            <w:r w:rsidR="003560ED">
              <w:rPr>
                <w:lang w:val="fr-FR"/>
              </w:rPr>
              <w:t>reffenings</w:t>
            </w:r>
            <w:r>
              <w:rPr>
                <w:lang w:val="fr-FR"/>
              </w:rPr>
              <w:t>k</w:t>
            </w:r>
            <w:r w:rsidR="003560ED">
              <w:rPr>
                <w:lang w:val="fr-FR"/>
              </w:rPr>
              <w:t>rediet</w:t>
            </w:r>
            <w:proofErr w:type="spellEnd"/>
          </w:p>
        </w:tc>
        <w:tc>
          <w:tcPr>
            <w:tcW w:w="623" w:type="pct"/>
          </w:tcPr>
          <w:p w14:paraId="25D09625" w14:textId="77777777" w:rsidR="008673CE" w:rsidRPr="00386309" w:rsidRDefault="008673CE" w:rsidP="00814391">
            <w:pPr>
              <w:pStyle w:val="Table"/>
              <w:spacing w:before="60" w:after="60"/>
              <w:rPr>
                <w:lang w:val="fr-FR"/>
              </w:rPr>
            </w:pPr>
          </w:p>
        </w:tc>
        <w:tc>
          <w:tcPr>
            <w:tcW w:w="620" w:type="pct"/>
          </w:tcPr>
          <w:p w14:paraId="4E1CD977" w14:textId="77777777" w:rsidR="008673CE" w:rsidRPr="00386309" w:rsidRDefault="008673CE" w:rsidP="00814391">
            <w:pPr>
              <w:pStyle w:val="Table"/>
              <w:spacing w:before="60" w:after="60"/>
              <w:rPr>
                <w:lang w:val="fr-FR"/>
              </w:rPr>
            </w:pPr>
          </w:p>
        </w:tc>
        <w:tc>
          <w:tcPr>
            <w:tcW w:w="620" w:type="pct"/>
          </w:tcPr>
          <w:p w14:paraId="43CF83C5" w14:textId="77777777" w:rsidR="008673CE" w:rsidRPr="00386309" w:rsidRDefault="008673CE" w:rsidP="00814391">
            <w:pPr>
              <w:pStyle w:val="Table"/>
              <w:spacing w:before="60" w:after="60"/>
              <w:rPr>
                <w:lang w:val="fr-FR"/>
              </w:rPr>
            </w:pPr>
          </w:p>
        </w:tc>
        <w:tc>
          <w:tcPr>
            <w:tcW w:w="620" w:type="pct"/>
          </w:tcPr>
          <w:p w14:paraId="0AFEF8BB" w14:textId="77777777" w:rsidR="008673CE" w:rsidRPr="00386309" w:rsidRDefault="008673CE" w:rsidP="00814391">
            <w:pPr>
              <w:pStyle w:val="Table"/>
              <w:spacing w:before="60" w:after="60"/>
              <w:rPr>
                <w:lang w:val="fr-FR"/>
              </w:rPr>
            </w:pPr>
          </w:p>
        </w:tc>
        <w:tc>
          <w:tcPr>
            <w:tcW w:w="620" w:type="pct"/>
          </w:tcPr>
          <w:p w14:paraId="7298E171" w14:textId="77777777" w:rsidR="008673CE" w:rsidRPr="00386309" w:rsidRDefault="008673CE" w:rsidP="00814391">
            <w:pPr>
              <w:pStyle w:val="Table"/>
              <w:spacing w:before="60" w:after="60"/>
              <w:rPr>
                <w:lang w:val="fr-FR"/>
              </w:rPr>
            </w:pPr>
          </w:p>
        </w:tc>
        <w:tc>
          <w:tcPr>
            <w:tcW w:w="616" w:type="pct"/>
          </w:tcPr>
          <w:p w14:paraId="6E0D9F23" w14:textId="77777777" w:rsidR="008673CE" w:rsidRPr="00386309" w:rsidRDefault="008673CE" w:rsidP="00814391">
            <w:pPr>
              <w:pStyle w:val="Table"/>
              <w:spacing w:before="60" w:after="60"/>
              <w:rPr>
                <w:lang w:val="fr-FR"/>
              </w:rPr>
            </w:pPr>
          </w:p>
        </w:tc>
      </w:tr>
    </w:tbl>
    <w:bookmarkEnd w:id="0"/>
    <w:p w14:paraId="6E7BE9E9" w14:textId="731E40F8" w:rsidR="0011699C" w:rsidRPr="0011699C" w:rsidRDefault="0011699C" w:rsidP="008673CE">
      <w:pPr>
        <w:pStyle w:val="Titre3"/>
        <w:numPr>
          <w:ilvl w:val="0"/>
          <w:numId w:val="0"/>
        </w:numPr>
        <w:rPr>
          <w:lang w:val="nl-BE"/>
        </w:rPr>
      </w:pPr>
      <w:r w:rsidRPr="0011699C">
        <w:rPr>
          <w:lang w:val="nl-BE"/>
        </w:rPr>
        <w:t>Artikel 3</w:t>
      </w:r>
      <w:r w:rsidRPr="00E011FB">
        <w:rPr>
          <w:lang w:val="fr"/>
        </w:rPr>
        <w:t xml:space="preserve"> – </w:t>
      </w:r>
      <w:r w:rsidRPr="0011699C">
        <w:rPr>
          <w:lang w:val="nl-BE"/>
        </w:rPr>
        <w:t>Uitvoering</w:t>
      </w:r>
    </w:p>
    <w:p w14:paraId="22C97852" w14:textId="77777777" w:rsidR="0011699C" w:rsidRPr="0011699C" w:rsidRDefault="0011699C" w:rsidP="008673CE">
      <w:pPr>
        <w:rPr>
          <w:lang w:val="nl-BE"/>
        </w:rPr>
      </w:pPr>
      <w:r w:rsidRPr="0011699C">
        <w:rPr>
          <w:lang w:val="nl-BE"/>
        </w:rPr>
        <w:t>§ 1. De subsidie is uitsluitend bestemd voor de verwezenlijking van het project. Ze mag geenszins worden aangewend voor de financiering van andere activiteiten of evenementen.</w:t>
      </w:r>
    </w:p>
    <w:p w14:paraId="42D5B175" w14:textId="23F206A8" w:rsidR="0011699C" w:rsidRPr="0011699C" w:rsidRDefault="0011699C" w:rsidP="008673CE">
      <w:pPr>
        <w:rPr>
          <w:rFonts w:cstheme="majorHAnsi"/>
          <w:lang w:val="nl-BE"/>
        </w:rPr>
      </w:pPr>
      <w:r w:rsidRPr="0011699C">
        <w:rPr>
          <w:lang w:val="nl-BE"/>
        </w:rPr>
        <w:t>§ 2. De acties die gesubsidieerd worden en voorzien zijn in het kader van het project moeten worden gerealiseerd en zullen worden beperkt tot de periode die eindigt op de 31 december van elk jaar tot 31</w:t>
      </w:r>
      <w:r w:rsidR="00814391">
        <w:rPr>
          <w:lang w:val="nl-BE"/>
        </w:rPr>
        <w:t>.</w:t>
      </w:r>
      <w:r w:rsidRPr="0011699C">
        <w:rPr>
          <w:lang w:val="nl-BE"/>
        </w:rPr>
        <w:t>12</w:t>
      </w:r>
      <w:r w:rsidR="00814391">
        <w:rPr>
          <w:lang w:val="nl-BE"/>
        </w:rPr>
        <w:t>.</w:t>
      </w:r>
      <w:r w:rsidRPr="0011699C">
        <w:rPr>
          <w:highlight w:val="yellow"/>
          <w:lang w:val="nl-BE"/>
        </w:rPr>
        <w:t>202*</w:t>
      </w:r>
      <w:r w:rsidRPr="0011699C">
        <w:rPr>
          <w:lang w:val="nl-BE"/>
        </w:rPr>
        <w:t>.</w:t>
      </w:r>
    </w:p>
    <w:p w14:paraId="41673432" w14:textId="00B91498" w:rsidR="0011699C" w:rsidRPr="0011699C" w:rsidRDefault="0011699C" w:rsidP="008673CE">
      <w:pPr>
        <w:rPr>
          <w:rFonts w:eastAsia="Times New Roman" w:cstheme="majorHAnsi"/>
          <w:lang w:val="nl-BE"/>
        </w:rPr>
      </w:pPr>
      <w:r w:rsidRPr="0011699C">
        <w:rPr>
          <w:lang w:val="nl-BE"/>
        </w:rPr>
        <w:t xml:space="preserve">§3. Voor de opvolging van de acties zetten de partijen een project </w:t>
      </w:r>
      <w:proofErr w:type="spellStart"/>
      <w:r w:rsidRPr="0011699C">
        <w:rPr>
          <w:lang w:val="nl-BE"/>
        </w:rPr>
        <w:t>governance</w:t>
      </w:r>
      <w:proofErr w:type="spellEnd"/>
      <w:r w:rsidRPr="0011699C">
        <w:rPr>
          <w:lang w:val="nl-BE"/>
        </w:rPr>
        <w:t xml:space="preserve"> op met een regelmatige opvolging, die als volgt wordt bepaald </w:t>
      </w:r>
      <w:r w:rsidRPr="0011699C">
        <w:rPr>
          <w:highlight w:val="yellow"/>
          <w:lang w:val="nl-BE"/>
        </w:rPr>
        <w:t>****.</w:t>
      </w:r>
    </w:p>
    <w:p w14:paraId="69484C54" w14:textId="0BC85F94" w:rsidR="0011699C" w:rsidRPr="0011699C" w:rsidRDefault="0011699C" w:rsidP="008673CE">
      <w:pPr>
        <w:pStyle w:val="Titre3"/>
        <w:numPr>
          <w:ilvl w:val="0"/>
          <w:numId w:val="0"/>
        </w:numPr>
        <w:rPr>
          <w:lang w:val="nl-BE"/>
        </w:rPr>
      </w:pPr>
      <w:r w:rsidRPr="0011699C">
        <w:rPr>
          <w:lang w:val="nl-BE"/>
        </w:rPr>
        <w:t>Artikel 4</w:t>
      </w:r>
      <w:r w:rsidRPr="00193610">
        <w:rPr>
          <w:lang w:val="nl-BE"/>
        </w:rPr>
        <w:t xml:space="preserve"> – </w:t>
      </w:r>
      <w:r w:rsidRPr="0011699C">
        <w:rPr>
          <w:lang w:val="nl-BE"/>
        </w:rPr>
        <w:t>Vereffening van de subsidie</w:t>
      </w:r>
    </w:p>
    <w:p w14:paraId="6BFF88DC" w14:textId="3142F2D7" w:rsidR="0011699C" w:rsidRPr="0011699C" w:rsidRDefault="0011699C" w:rsidP="008673CE">
      <w:pPr>
        <w:rPr>
          <w:rFonts w:eastAsia="Times New Roman" w:cstheme="majorHAnsi"/>
          <w:lang w:val="nl-BE"/>
        </w:rPr>
      </w:pPr>
      <w:r w:rsidRPr="0011699C">
        <w:rPr>
          <w:lang w:val="nl-BE"/>
        </w:rPr>
        <w:t>§ 1. Een eerste schijf van de subsidie ten belope van 30</w:t>
      </w:r>
      <w:r w:rsidR="00814391">
        <w:rPr>
          <w:lang w:val="nl-BE"/>
        </w:rPr>
        <w:t> </w:t>
      </w:r>
      <w:r w:rsidRPr="0011699C">
        <w:rPr>
          <w:lang w:val="nl-BE"/>
        </w:rPr>
        <w:t>% van het jaarlijkse bedrag zal overgemaakt worden op voorlegging van een schuldvordering.</w:t>
      </w:r>
    </w:p>
    <w:p w14:paraId="38FA793C" w14:textId="1A6A728C" w:rsidR="0011699C" w:rsidRPr="0011699C" w:rsidRDefault="0011699C" w:rsidP="008673CE">
      <w:pPr>
        <w:rPr>
          <w:rFonts w:eastAsia="Times New Roman" w:cstheme="majorHAnsi"/>
          <w:lang w:val="nl-BE"/>
        </w:rPr>
      </w:pPr>
      <w:r w:rsidRPr="0011699C">
        <w:rPr>
          <w:lang w:val="nl-BE"/>
        </w:rPr>
        <w:t>§ 2. Voor elk van de volgende schijven zal de aanvrager een schuldvordering indienen die vergezeld gaat van bewijsstukken die de materialiteit van de kost en de verwezenlijking van de acties zoals vastgesteld in het projectplan staven. Elke vereffeningsaanvraag moet een samenvattende tabel met de ontvangen en uitgegeven bedragen bevatten.</w:t>
      </w:r>
    </w:p>
    <w:p w14:paraId="1D728C9B" w14:textId="5E450F57" w:rsidR="0011699C" w:rsidRPr="0011699C" w:rsidRDefault="0011699C" w:rsidP="008673CE">
      <w:pPr>
        <w:rPr>
          <w:rFonts w:eastAsia="Times New Roman" w:cstheme="majorHAnsi"/>
          <w:lang w:val="nl-BE"/>
        </w:rPr>
      </w:pPr>
      <w:r w:rsidRPr="0011699C">
        <w:rPr>
          <w:lang w:val="nl-BE"/>
        </w:rPr>
        <w:t xml:space="preserve">§ 3. De vereffeningsaanvraag moet worden ingediend </w:t>
      </w:r>
      <w:r w:rsidRPr="0011699C">
        <w:rPr>
          <w:highlight w:val="yellow"/>
          <w:lang w:val="nl-BE"/>
        </w:rPr>
        <w:t>[de termijnen, voorwaarden en processen beschrijven]</w:t>
      </w:r>
      <w:r w:rsidRPr="0011699C">
        <w:rPr>
          <w:lang w:val="nl-BE"/>
        </w:rPr>
        <w:t>.</w:t>
      </w:r>
    </w:p>
    <w:p w14:paraId="74C286DF" w14:textId="5BC63751" w:rsidR="0011699C" w:rsidRPr="0011699C" w:rsidRDefault="0011699C" w:rsidP="008673CE">
      <w:pPr>
        <w:rPr>
          <w:rFonts w:eastAsia="Times New Roman" w:cstheme="majorHAnsi"/>
          <w:lang w:val="nl-BE"/>
        </w:rPr>
      </w:pPr>
      <w:r w:rsidRPr="0011699C">
        <w:rPr>
          <w:lang w:val="nl-BE"/>
        </w:rPr>
        <w:t xml:space="preserve">§ 4. De laatste vereffeningsaanvraag met betrekking tot de uitgaven van het kalenderjaar moet ten laatste worden ingediend op de </w:t>
      </w:r>
      <w:r w:rsidRPr="0011699C">
        <w:rPr>
          <w:highlight w:val="yellow"/>
          <w:lang w:val="nl-BE"/>
        </w:rPr>
        <w:t xml:space="preserve">[XX januari] </w:t>
      </w:r>
      <w:r w:rsidRPr="0011699C">
        <w:rPr>
          <w:lang w:val="nl-BE"/>
        </w:rPr>
        <w:t>van elk jaar, zodat de uitgave vóór 1 februari kan worden ingeschreven in de begrotingskredieten die overeenkomen</w:t>
      </w:r>
      <w:r w:rsidRPr="0011699C">
        <w:rPr>
          <w:b/>
          <w:bCs/>
          <w:lang w:val="nl-BE"/>
        </w:rPr>
        <w:t xml:space="preserve"> </w:t>
      </w:r>
      <w:r w:rsidRPr="0011699C">
        <w:rPr>
          <w:lang w:val="nl-BE"/>
        </w:rPr>
        <w:t>met elk boekjaar, overeenkomstig de wettelijke bepalingen vermeld in de wet van 22 mei 2003 houdende organisatie van de begroting en van de comptabiliteit van de Federale Staat.</w:t>
      </w:r>
    </w:p>
    <w:p w14:paraId="23129E01" w14:textId="16F62EE1" w:rsidR="0011699C" w:rsidRPr="0011699C" w:rsidRDefault="0011699C" w:rsidP="008673CE">
      <w:pPr>
        <w:rPr>
          <w:rFonts w:eastAsia="Times New Roman" w:cstheme="majorHAnsi"/>
          <w:lang w:val="nl-BE"/>
        </w:rPr>
      </w:pPr>
      <w:r w:rsidRPr="0011699C">
        <w:rPr>
          <w:lang w:val="nl-BE"/>
        </w:rPr>
        <w:t xml:space="preserve">§ 5. Bij de laatste betalingsaanvraag van het jaar </w:t>
      </w:r>
      <w:r w:rsidR="003560ED">
        <w:rPr>
          <w:lang w:val="nl-BE"/>
        </w:rPr>
        <w:t>zijn</w:t>
      </w:r>
      <w:r w:rsidR="003560ED" w:rsidRPr="0011699C">
        <w:rPr>
          <w:lang w:val="nl-BE"/>
        </w:rPr>
        <w:t xml:space="preserve"> </w:t>
      </w:r>
      <w:r w:rsidRPr="0011699C">
        <w:rPr>
          <w:lang w:val="nl-BE"/>
        </w:rPr>
        <w:t>gevoegd:</w:t>
      </w:r>
    </w:p>
    <w:p w14:paraId="04AD661D" w14:textId="32D01C8D" w:rsidR="0011699C" w:rsidRPr="008A50C8" w:rsidRDefault="00814391" w:rsidP="008673CE">
      <w:pPr>
        <w:pStyle w:val="Bullet1"/>
        <w:rPr>
          <w:rFonts w:eastAsia="Times New Roman" w:cstheme="majorHAnsi"/>
          <w:lang w:val="nl-BE"/>
        </w:rPr>
      </w:pPr>
      <w:r w:rsidRPr="008A50C8">
        <w:rPr>
          <w:lang w:val="nl-BE"/>
        </w:rPr>
        <w:t>E</w:t>
      </w:r>
      <w:r w:rsidR="0011699C" w:rsidRPr="008A50C8">
        <w:rPr>
          <w:lang w:val="nl-BE"/>
        </w:rPr>
        <w:t>en samenvattende tabel van de aanvaarde facturen en betalingsbewijzen met:</w:t>
      </w:r>
    </w:p>
    <w:p w14:paraId="0B3314FF" w14:textId="268C6D46" w:rsidR="0011699C" w:rsidRPr="008A50C8" w:rsidRDefault="0011699C" w:rsidP="00814391">
      <w:pPr>
        <w:pStyle w:val="Bullet2"/>
        <w:rPr>
          <w:rFonts w:eastAsia="Times New Roman" w:cstheme="majorHAnsi"/>
        </w:rPr>
      </w:pPr>
      <w:r w:rsidRPr="00814391">
        <w:t xml:space="preserve">de </w:t>
      </w:r>
      <w:proofErr w:type="spellStart"/>
      <w:r w:rsidRPr="00814391">
        <w:t>referentie</w:t>
      </w:r>
      <w:proofErr w:type="spellEnd"/>
      <w:r w:rsidRPr="00814391">
        <w:t xml:space="preserve"> van het </w:t>
      </w:r>
      <w:proofErr w:type="spellStart"/>
      <w:r w:rsidRPr="00814391">
        <w:t>project</w:t>
      </w:r>
      <w:proofErr w:type="spellEnd"/>
      <w:r w:rsidRPr="00814391">
        <w:t xml:space="preserve"> </w:t>
      </w:r>
      <w:r w:rsidRPr="00814391">
        <w:rPr>
          <w:highlight w:val="yellow"/>
        </w:rPr>
        <w:t>IXXXXX/BE-C[CXX]-I of R[I of R-XXX.XX]</w:t>
      </w:r>
      <w:r w:rsidR="00814391" w:rsidRPr="008A50C8">
        <w:t>,</w:t>
      </w:r>
    </w:p>
    <w:p w14:paraId="41B91F6D" w14:textId="7448E5B3" w:rsidR="0011699C" w:rsidRPr="008A50C8" w:rsidRDefault="0011699C" w:rsidP="008673CE">
      <w:pPr>
        <w:pStyle w:val="Bullet2"/>
        <w:rPr>
          <w:rFonts w:eastAsia="Times New Roman" w:cstheme="majorHAnsi"/>
          <w:lang w:val="nl-BE"/>
        </w:rPr>
      </w:pPr>
      <w:r w:rsidRPr="008A50C8">
        <w:rPr>
          <w:lang w:val="nl-BE"/>
        </w:rPr>
        <w:t>de kenmerken van de verrichte betaling (nummer bankrekeningafschrift of kasboek)</w:t>
      </w:r>
      <w:r w:rsidR="00814391" w:rsidRPr="008A50C8">
        <w:rPr>
          <w:lang w:val="nl-BE"/>
        </w:rPr>
        <w:t>,</w:t>
      </w:r>
    </w:p>
    <w:p w14:paraId="75F7798D" w14:textId="7D712B07" w:rsidR="0011699C" w:rsidRPr="008A50C8" w:rsidRDefault="0011699C" w:rsidP="008673CE">
      <w:pPr>
        <w:pStyle w:val="Bullet2"/>
        <w:rPr>
          <w:rFonts w:eastAsia="Times New Roman" w:cstheme="majorHAnsi"/>
          <w:lang w:val="nl-BE"/>
        </w:rPr>
      </w:pPr>
      <w:r w:rsidRPr="008A50C8">
        <w:rPr>
          <w:lang w:val="nl-BE"/>
        </w:rPr>
        <w:t>desgevallend de toegepaste verdeelsleutel die bepaalt wel deel van de factuur of van het betalingsbewijs het voorwerp uitmaakt van een Europese subsidiëring</w:t>
      </w:r>
      <w:r w:rsidR="00814391" w:rsidRPr="008A50C8">
        <w:rPr>
          <w:lang w:val="nl-BE"/>
        </w:rPr>
        <w:t>,</w:t>
      </w:r>
    </w:p>
    <w:p w14:paraId="31FF1813" w14:textId="0ABEEDEE" w:rsidR="0011699C" w:rsidRPr="008A50C8" w:rsidRDefault="0011699C" w:rsidP="008673CE">
      <w:pPr>
        <w:pStyle w:val="Bullet2"/>
        <w:rPr>
          <w:rFonts w:eastAsia="Times New Roman" w:cstheme="majorHAnsi"/>
          <w:lang w:val="nl-BE"/>
        </w:rPr>
      </w:pPr>
      <w:r w:rsidRPr="008A50C8">
        <w:rPr>
          <w:lang w:val="nl-BE"/>
        </w:rPr>
        <w:t>voor het gesubsidieerde deel: de link naar de specifieke referentie gekoppeld aan de groene markering en de referentie van het project (</w:t>
      </w:r>
      <w:r w:rsidRPr="008A50C8">
        <w:rPr>
          <w:highlight w:val="yellow"/>
          <w:lang w:val="nl-BE"/>
        </w:rPr>
        <w:t>IXXXXX/BE-C[CXX]-I of R[I of R-XXX.XX]</w:t>
      </w:r>
      <w:r w:rsidR="00814391" w:rsidRPr="008A50C8">
        <w:rPr>
          <w:lang w:val="nl-BE"/>
        </w:rPr>
        <w:t>)</w:t>
      </w:r>
      <w:r w:rsidRPr="008A50C8">
        <w:rPr>
          <w:lang w:val="nl-BE"/>
        </w:rPr>
        <w:t>.</w:t>
      </w:r>
    </w:p>
    <w:p w14:paraId="410E9AEC" w14:textId="798C9BB5" w:rsidR="0011699C" w:rsidRPr="008A50C8" w:rsidRDefault="0011699C" w:rsidP="008673CE">
      <w:pPr>
        <w:pStyle w:val="Bullet1"/>
        <w:rPr>
          <w:rFonts w:eastAsia="Times New Roman" w:cstheme="majorHAnsi"/>
          <w:lang w:val="nl-BE"/>
        </w:rPr>
      </w:pPr>
      <w:r w:rsidRPr="008A50C8">
        <w:rPr>
          <w:lang w:val="nl-BE"/>
        </w:rPr>
        <w:lastRenderedPageBreak/>
        <w:t>Alle boekhoudkundige documenten ter verantwoording van de bovenstaande tabel. Al deze documenten, die eveneens kunnen worden overgemaakt in de vorm van duidelijk leesbare kopieën, moeten genummerd zijn, zodat ze gemakkelijk in verband kunnen worden gebracht</w:t>
      </w:r>
      <w:r w:rsidRPr="008A50C8">
        <w:rPr>
          <w:b/>
          <w:bCs/>
          <w:lang w:val="nl-BE"/>
        </w:rPr>
        <w:t xml:space="preserve"> </w:t>
      </w:r>
      <w:r w:rsidRPr="008A50C8">
        <w:rPr>
          <w:lang w:val="nl-BE"/>
        </w:rPr>
        <w:t>met de details in de hoger vermelde tabel. De nummering moet de referentie van het project en van de acties bevatten. De aanvrager verbindt zich ertoe de originelen te bewaren gedurende de in de wet voorziene periodes en ze ter beschikking te stellen op verzoek van de administratie.</w:t>
      </w:r>
    </w:p>
    <w:p w14:paraId="64DA4B01" w14:textId="77777777" w:rsidR="0011699C" w:rsidRPr="0011699C" w:rsidRDefault="0011699C" w:rsidP="008673CE">
      <w:pPr>
        <w:rPr>
          <w:rFonts w:eastAsia="Times New Roman" w:cstheme="majorHAnsi"/>
          <w:lang w:val="nl-BE"/>
        </w:rPr>
      </w:pPr>
      <w:r w:rsidRPr="0011699C">
        <w:rPr>
          <w:lang w:val="nl-BE"/>
        </w:rPr>
        <w:t>§ 6. Persoonsgegevens (bijvoorbeeld aanwezigheidslijsten, adviseurs of contactpersonen enz.) worden door de aanvrager zelf bewaard en worden ter beschikking gehouden van de administratieve overheden en/of controle-instanties. De bewaring van persoonsgegevens gebeurt conform de Algemene Verordening Gegevensbescherming.</w:t>
      </w:r>
    </w:p>
    <w:p w14:paraId="45B643CF" w14:textId="4B050CB3" w:rsidR="0011699C" w:rsidRPr="0011699C" w:rsidRDefault="0011699C" w:rsidP="008673CE">
      <w:pPr>
        <w:rPr>
          <w:rFonts w:eastAsia="Times New Roman" w:cstheme="majorHAnsi"/>
          <w:lang w:val="nl-BE"/>
        </w:rPr>
      </w:pPr>
      <w:r w:rsidRPr="0011699C">
        <w:rPr>
          <w:lang w:val="nl-BE"/>
        </w:rPr>
        <w:t>§ 7. Overeenkomstig het jaarlijks voorziene koninklijk besluit mogen de vereffeningen enkel gebeuren op de kredieten van het betrokken jaar en mag de schuldvordering enkel betrekking hebben op het beschouwde jaar. Na de 31 januari van elk jaar zullen de bedragen die niet op geldige wijze teruggevorderd en/of aanvaard werden ambtshalve beschouwd worden als onverschuldigd en niet-</w:t>
      </w:r>
      <w:proofErr w:type="spellStart"/>
      <w:r w:rsidRPr="0011699C">
        <w:rPr>
          <w:lang w:val="nl-BE"/>
        </w:rPr>
        <w:t>terugvorderbaar</w:t>
      </w:r>
      <w:proofErr w:type="spellEnd"/>
      <w:r w:rsidRPr="0011699C">
        <w:rPr>
          <w:lang w:val="nl-BE"/>
        </w:rPr>
        <w:t xml:space="preserve"> ten laste van de kredieten van het jaar, op voorwaarde dat de Staat van geen enkele fout of vertraging kan worden beschuldigd in d</w:t>
      </w:r>
      <w:r w:rsidR="003560ED">
        <w:rPr>
          <w:lang w:val="nl-BE"/>
        </w:rPr>
        <w:t>a</w:t>
      </w:r>
      <w:r w:rsidRPr="0011699C">
        <w:rPr>
          <w:lang w:val="nl-BE"/>
        </w:rPr>
        <w:t>t opzicht.</w:t>
      </w:r>
    </w:p>
    <w:p w14:paraId="47AC7828" w14:textId="2D8AF3AF" w:rsidR="0011699C" w:rsidRPr="0011699C" w:rsidRDefault="0011699C" w:rsidP="008673CE">
      <w:pPr>
        <w:rPr>
          <w:rFonts w:eastAsia="Times New Roman" w:cstheme="majorHAnsi"/>
          <w:lang w:val="nl-BE"/>
        </w:rPr>
      </w:pPr>
      <w:r w:rsidRPr="0011699C">
        <w:rPr>
          <w:lang w:val="nl-BE"/>
        </w:rPr>
        <w:t>§ 9. De conformiteit en, behoudens voldoende en aanvaardbare verantwoording, de volledige verwezenlijking</w:t>
      </w:r>
      <w:r w:rsidRPr="0011699C">
        <w:rPr>
          <w:b/>
          <w:bCs/>
          <w:lang w:val="nl-BE"/>
        </w:rPr>
        <w:t xml:space="preserve"> </w:t>
      </w:r>
      <w:r w:rsidRPr="0011699C">
        <w:rPr>
          <w:lang w:val="nl-BE"/>
        </w:rPr>
        <w:t>van de acties, en de resultaatsverbintenis, is een verplichting en een voorwaarde voor de toekenning van de subsidie; in geval van een onaanvaardbare, onvolledig of niet-conforme uitvoering zullen de eruit voortvloeiende</w:t>
      </w:r>
      <w:r w:rsidRPr="0011699C">
        <w:rPr>
          <w:b/>
          <w:bCs/>
          <w:lang w:val="nl-BE"/>
        </w:rPr>
        <w:t xml:space="preserve"> </w:t>
      </w:r>
      <w:r w:rsidRPr="0011699C">
        <w:rPr>
          <w:lang w:val="nl-BE"/>
        </w:rPr>
        <w:t>kosten noch gesubsidieerd, of desgevallend teruggevorderd worden.</w:t>
      </w:r>
    </w:p>
    <w:p w14:paraId="5EA70DF6" w14:textId="71FA726B" w:rsidR="0011699C" w:rsidRPr="0011699C" w:rsidRDefault="0011699C" w:rsidP="008673CE">
      <w:pPr>
        <w:rPr>
          <w:rFonts w:eastAsia="Times New Roman" w:cstheme="majorHAnsi"/>
          <w:lang w:val="nl-BE"/>
        </w:rPr>
      </w:pPr>
      <w:r w:rsidRPr="0011699C">
        <w:rPr>
          <w:lang w:val="nl-BE"/>
        </w:rPr>
        <w:t>§ 9. De aanvrager verklaart op erewoord dat alle facturen die zijn ingediend met het oog op verantwoording daadwerkelijk betaald werden. Indien d</w:t>
      </w:r>
      <w:r w:rsidR="003560ED">
        <w:rPr>
          <w:lang w:val="nl-BE"/>
        </w:rPr>
        <w:t>a</w:t>
      </w:r>
      <w:r w:rsidRPr="0011699C">
        <w:rPr>
          <w:lang w:val="nl-BE"/>
        </w:rPr>
        <w:t>t niet het geval is, moet de administratieve overheid hiervan onverwijld op de hoogte worden gebracht. Ze zal dit deel van de subsidie vervolgens terugvorderen.</w:t>
      </w:r>
    </w:p>
    <w:p w14:paraId="3A8798ED" w14:textId="7EF9441A" w:rsidR="0011699C" w:rsidRPr="0011699C" w:rsidRDefault="0011699C" w:rsidP="008673CE">
      <w:pPr>
        <w:pStyle w:val="Titre3"/>
        <w:numPr>
          <w:ilvl w:val="0"/>
          <w:numId w:val="0"/>
        </w:numPr>
        <w:rPr>
          <w:lang w:val="nl-BE"/>
        </w:rPr>
      </w:pPr>
      <w:r w:rsidRPr="0011699C">
        <w:rPr>
          <w:lang w:val="nl-BE"/>
        </w:rPr>
        <w:t>Artikel 5</w:t>
      </w:r>
      <w:r w:rsidRPr="008A50C8">
        <w:rPr>
          <w:lang w:val="nl-BE"/>
        </w:rPr>
        <w:t xml:space="preserve"> – </w:t>
      </w:r>
      <w:r w:rsidRPr="0011699C">
        <w:rPr>
          <w:lang w:val="nl-BE"/>
        </w:rPr>
        <w:t>Verplichtingen van de aanvrager</w:t>
      </w:r>
    </w:p>
    <w:p w14:paraId="1EEBE4A2" w14:textId="26A38A0F" w:rsidR="0011699C" w:rsidRPr="0011699C" w:rsidRDefault="0011699C" w:rsidP="008673CE">
      <w:pPr>
        <w:rPr>
          <w:rFonts w:eastAsia="Times New Roman" w:cstheme="majorHAnsi"/>
          <w:lang w:val="nl-BE"/>
        </w:rPr>
      </w:pPr>
      <w:r w:rsidRPr="0011699C">
        <w:rPr>
          <w:lang w:val="nl-BE"/>
        </w:rPr>
        <w:t>§ 1. Als tegenprestatie voor de subsidie verbindt de aanvrager zich ertoe de acties zoals beschreven in het project en de resultaatsverbintenis te verwezenlijken, tenzij er gemotiveerde veranderingen zijn zoals beschreven in § 2.</w:t>
      </w:r>
    </w:p>
    <w:p w14:paraId="007BAF31" w14:textId="77777777" w:rsidR="0011699C" w:rsidRPr="0011699C" w:rsidRDefault="0011699C" w:rsidP="008673CE">
      <w:pPr>
        <w:rPr>
          <w:rFonts w:eastAsia="Times New Roman" w:cstheme="majorHAnsi"/>
          <w:lang w:val="nl-BE"/>
        </w:rPr>
      </w:pPr>
      <w:r w:rsidRPr="0011699C">
        <w:rPr>
          <w:lang w:val="nl-BE"/>
        </w:rPr>
        <w:t>§ 2. De aanvrager dient de Staat op de hoogte houden</w:t>
      </w:r>
      <w:r w:rsidRPr="0011699C">
        <w:rPr>
          <w:b/>
          <w:bCs/>
          <w:lang w:val="nl-BE"/>
        </w:rPr>
        <w:t xml:space="preserve"> </w:t>
      </w:r>
      <w:r w:rsidRPr="0011699C">
        <w:rPr>
          <w:lang w:val="nl-BE"/>
        </w:rPr>
        <w:t>van de vordering van het project door halfjaarlijks een voortgangsrapport in te dienen.</w:t>
      </w:r>
    </w:p>
    <w:p w14:paraId="2A993AC4" w14:textId="3004771F" w:rsidR="0011699C" w:rsidRPr="0011699C" w:rsidRDefault="0011699C" w:rsidP="008673CE">
      <w:pPr>
        <w:rPr>
          <w:rFonts w:eastAsia="Times New Roman" w:cstheme="majorHAnsi"/>
          <w:lang w:val="nl-BE"/>
        </w:rPr>
      </w:pPr>
      <w:r w:rsidRPr="0011699C">
        <w:rPr>
          <w:lang w:val="nl-BE"/>
        </w:rPr>
        <w:t>§ 3. Indien hij niet in staat is een verplichting uit te voeren, brengt de aanvrager eerst de administratieve overheid daarvan onverwijld op de hoogte met een gemotiveerd schrijven; hetzelfde geldt wanneer delen van het project moeten worden gewijzigd. De verantwoording verwijst duidelijk naar de redenen en de gevolgen, waaronder de resultaten en de kosten, van deze nieuwe elementen.</w:t>
      </w:r>
    </w:p>
    <w:p w14:paraId="11DE3612" w14:textId="41AA7B5B" w:rsidR="0011699C" w:rsidRPr="0011699C" w:rsidRDefault="0011699C" w:rsidP="008673CE">
      <w:pPr>
        <w:rPr>
          <w:rFonts w:eastAsia="Times New Roman" w:cstheme="majorHAnsi"/>
          <w:lang w:val="nl-BE"/>
        </w:rPr>
      </w:pPr>
      <w:r w:rsidRPr="0011699C">
        <w:rPr>
          <w:lang w:val="nl-BE"/>
        </w:rPr>
        <w:t xml:space="preserve">§ 4. Een werkgroep onder coördinatie van de minister </w:t>
      </w:r>
      <w:r w:rsidRPr="0011699C">
        <w:rPr>
          <w:highlight w:val="yellow"/>
          <w:lang w:val="nl-BE"/>
        </w:rPr>
        <w:t>****</w:t>
      </w:r>
      <w:r w:rsidRPr="0011699C">
        <w:rPr>
          <w:lang w:val="nl-BE"/>
        </w:rPr>
        <w:t xml:space="preserve">, samengesteld </w:t>
      </w:r>
      <w:r w:rsidRPr="0011699C">
        <w:rPr>
          <w:highlight w:val="yellow"/>
          <w:lang w:val="nl-BE"/>
        </w:rPr>
        <w:t>****</w:t>
      </w:r>
      <w:r w:rsidRPr="0011699C">
        <w:rPr>
          <w:lang w:val="nl-BE"/>
        </w:rPr>
        <w:t>, zal de uitvoering van het projecten de acties beoordelen in het licht van de resultaatsverbintenis die in het project is opgenomen en zal het projectverslag al dan niet goedkeuren.</w:t>
      </w:r>
    </w:p>
    <w:p w14:paraId="174E0892" w14:textId="3890ACD9" w:rsidR="0011699C" w:rsidRPr="0011699C" w:rsidRDefault="0011699C" w:rsidP="008673CE">
      <w:pPr>
        <w:rPr>
          <w:lang w:val="nl-BE"/>
        </w:rPr>
      </w:pPr>
      <w:r w:rsidRPr="0011699C">
        <w:rPr>
          <w:lang w:val="nl-BE"/>
        </w:rPr>
        <w:t>§ 5. Bij niet-naleving van de verbintenissen en verplichtingen alsook bij wijzigingen van het project behoudt de Staat zich uitdrukkelijk het recht voor de subsidie</w:t>
      </w:r>
      <w:r w:rsidRPr="0011699C">
        <w:rPr>
          <w:b/>
          <w:bCs/>
          <w:lang w:val="nl-BE"/>
        </w:rPr>
        <w:t xml:space="preserve"> </w:t>
      </w:r>
      <w:r w:rsidRPr="0011699C">
        <w:rPr>
          <w:lang w:val="nl-BE"/>
        </w:rPr>
        <w:t>dienovereenkomstig te verminderen na de aanvrager te hebben gehoord.</w:t>
      </w:r>
    </w:p>
    <w:p w14:paraId="77DA90E0" w14:textId="365AAAAB" w:rsidR="0011699C" w:rsidRPr="0011699C" w:rsidRDefault="0011699C" w:rsidP="008673CE">
      <w:pPr>
        <w:rPr>
          <w:rFonts w:eastAsia="Times New Roman" w:cstheme="majorHAnsi"/>
          <w:lang w:val="nl-BE"/>
        </w:rPr>
      </w:pPr>
      <w:r w:rsidRPr="0011699C">
        <w:rPr>
          <w:lang w:val="nl-BE"/>
        </w:rPr>
        <w:t>§ 6. Los van wat voorzien is voor de contacten en de opvolging tussen de partijen verbindt de aanvrager zich ertoe de administratieve overheid op de hoogte te brengen van situaties die betrekking hebben op de verwezenlijking van het project en die d</w:t>
      </w:r>
      <w:r w:rsidR="003560ED">
        <w:rPr>
          <w:lang w:val="nl-BE"/>
        </w:rPr>
        <w:t>a</w:t>
      </w:r>
      <w:r w:rsidRPr="0011699C">
        <w:rPr>
          <w:lang w:val="nl-BE"/>
        </w:rPr>
        <w:t>t project kunnen beïnvloeden, zoals onder meer: wijziging van de structuur en van de rechts- en financiële toestand van de aanvrager of onvermogen (zelfs tijdelijk) om de verwezenlijkingen verder te zetten.</w:t>
      </w:r>
    </w:p>
    <w:p w14:paraId="47AA88B0" w14:textId="7F3CD0D9" w:rsidR="0011699C" w:rsidRPr="0011699C" w:rsidRDefault="0011699C" w:rsidP="008673CE">
      <w:pPr>
        <w:rPr>
          <w:rFonts w:eastAsia="Times New Roman" w:cstheme="majorHAnsi"/>
          <w:lang w:val="nl-BE"/>
        </w:rPr>
      </w:pPr>
      <w:r w:rsidRPr="0011699C">
        <w:rPr>
          <w:lang w:val="nl-BE"/>
        </w:rPr>
        <w:t>§ 7. Met betrekking tot de uitvoering van deze conventie verbindt de aanvrager zich ertoe gevolg te geven aan de vragen en opmerkingen die hem door de administratieve overheid of de werkgroep betekend worden, voor zover ze gemotiveerd zijn.</w:t>
      </w:r>
    </w:p>
    <w:p w14:paraId="6E134220" w14:textId="3B5CA457" w:rsidR="0011699C" w:rsidRPr="0011699C" w:rsidRDefault="0011699C" w:rsidP="008673CE">
      <w:pPr>
        <w:rPr>
          <w:rFonts w:eastAsia="Times New Roman" w:cstheme="majorHAnsi"/>
          <w:lang w:val="nl-BE"/>
        </w:rPr>
      </w:pPr>
      <w:r w:rsidRPr="0011699C">
        <w:rPr>
          <w:lang w:val="nl-BE"/>
        </w:rPr>
        <w:lastRenderedPageBreak/>
        <w:t xml:space="preserve">§ 8. De administratieve overheid is onderworpen aan de op haar van toepassing zijnde regels voor de administratieve en begrotingscontrole van verschillende instellingen in België (controle van de vastleggingen, </w:t>
      </w:r>
      <w:r w:rsidR="006A796C">
        <w:rPr>
          <w:lang w:val="nl-BE"/>
        </w:rPr>
        <w:t>I</w:t>
      </w:r>
      <w:r w:rsidRPr="0011699C">
        <w:rPr>
          <w:lang w:val="nl-BE"/>
        </w:rPr>
        <w:t xml:space="preserve">nspectie van Financiën, federale interne controle, Rekenhof, Federale </w:t>
      </w:r>
      <w:proofErr w:type="spellStart"/>
      <w:r w:rsidRPr="0011699C">
        <w:rPr>
          <w:lang w:val="nl-BE"/>
        </w:rPr>
        <w:t>Auditcel</w:t>
      </w:r>
      <w:proofErr w:type="spellEnd"/>
      <w:r w:rsidRPr="0011699C">
        <w:rPr>
          <w:lang w:val="nl-BE"/>
        </w:rPr>
        <w:t xml:space="preserve"> voor het </w:t>
      </w:r>
      <w:r w:rsidR="006A796C">
        <w:rPr>
          <w:lang w:val="nl-BE"/>
        </w:rPr>
        <w:t>h</w:t>
      </w:r>
      <w:r w:rsidRPr="0011699C">
        <w:rPr>
          <w:lang w:val="nl-BE"/>
        </w:rPr>
        <w:t xml:space="preserve">erstel- en </w:t>
      </w:r>
      <w:r w:rsidR="006A796C">
        <w:rPr>
          <w:lang w:val="nl-BE"/>
        </w:rPr>
        <w:t>v</w:t>
      </w:r>
      <w:r w:rsidRPr="0011699C">
        <w:rPr>
          <w:lang w:val="nl-BE"/>
        </w:rPr>
        <w:t>eerkrachtplan), maar ook aan de Europese regels (OLAF, Europees Rekenhof). Dus door de subsidie te aanvaarden:</w:t>
      </w:r>
    </w:p>
    <w:p w14:paraId="775EEA9B" w14:textId="3FF4A0A9" w:rsidR="0011699C" w:rsidRPr="0011699C" w:rsidRDefault="0011699C" w:rsidP="00193610">
      <w:pPr>
        <w:pStyle w:val="Indent1"/>
        <w:rPr>
          <w:rFonts w:eastAsia="Times New Roman" w:cstheme="majorHAnsi"/>
          <w:lang w:val="nl-BE"/>
        </w:rPr>
      </w:pPr>
      <w:r w:rsidRPr="0011699C">
        <w:rPr>
          <w:lang w:val="nl-BE"/>
        </w:rPr>
        <w:t>1° kent de aanvrager de administratieve overheid en de verschillende controle-instanties het recht toe om het gebruik van de toegekende fondsen te controleren overeenkomstig de vorm en de modaliteiten voorzien in de reglementering, met inbegrip van controles ter plaatse;</w:t>
      </w:r>
    </w:p>
    <w:p w14:paraId="37811E1E" w14:textId="77777777" w:rsidR="0011699C" w:rsidRPr="0011699C" w:rsidRDefault="0011699C" w:rsidP="00193610">
      <w:pPr>
        <w:pStyle w:val="Indent1"/>
        <w:rPr>
          <w:lang w:val="nl-BE"/>
        </w:rPr>
      </w:pPr>
      <w:r w:rsidRPr="0011699C">
        <w:rPr>
          <w:lang w:val="nl-BE"/>
        </w:rPr>
        <w:t>2° verbindt de aanvrager zich ertoe alles in het werk te stellen om eventuele controles te vergemakkelijken.</w:t>
      </w:r>
    </w:p>
    <w:p w14:paraId="4B889BCA" w14:textId="26C45CF8" w:rsidR="0011699C" w:rsidRPr="0011699C" w:rsidRDefault="0011699C" w:rsidP="008673CE">
      <w:pPr>
        <w:rPr>
          <w:lang w:val="nl-BE"/>
        </w:rPr>
      </w:pPr>
      <w:r w:rsidRPr="0011699C">
        <w:rPr>
          <w:lang w:val="nl-BE"/>
        </w:rPr>
        <w:t>§ 9. Bij niet-naleving van de verplichtingen kan de Staat, om redenen die hij motiveert, aan de aanvrager zijn subsidie ontnemen en eventueel terugvorderen; in dat geval kan de aanvrager geen gebruik meer maken van of zich beroepen op de bekomen subsidie.</w:t>
      </w:r>
    </w:p>
    <w:p w14:paraId="463DC9F5" w14:textId="74815A05" w:rsidR="0011699C" w:rsidRPr="0011699C" w:rsidRDefault="0011699C" w:rsidP="008673CE">
      <w:pPr>
        <w:pStyle w:val="Titre3"/>
        <w:numPr>
          <w:ilvl w:val="0"/>
          <w:numId w:val="0"/>
        </w:numPr>
        <w:rPr>
          <w:rFonts w:eastAsia="Times New Roman" w:cstheme="majorHAnsi"/>
          <w:lang w:val="nl-BE"/>
        </w:rPr>
      </w:pPr>
      <w:r w:rsidRPr="0011699C">
        <w:rPr>
          <w:lang w:val="nl-BE"/>
        </w:rPr>
        <w:t>Artikel 6</w:t>
      </w:r>
      <w:r w:rsidRPr="00193610">
        <w:rPr>
          <w:lang w:val="nl-BE"/>
        </w:rPr>
        <w:t xml:space="preserve"> – </w:t>
      </w:r>
      <w:r w:rsidRPr="0011699C">
        <w:rPr>
          <w:lang w:val="nl-BE"/>
        </w:rPr>
        <w:t>Europese rapporteringen in het kader van de uitvoering van het project</w:t>
      </w:r>
    </w:p>
    <w:p w14:paraId="133128BD" w14:textId="519F549F" w:rsidR="0011699C" w:rsidRPr="0011699C" w:rsidRDefault="0011699C" w:rsidP="008673CE">
      <w:pPr>
        <w:rPr>
          <w:rFonts w:eastAsia="Times New Roman" w:cstheme="majorHAnsi"/>
          <w:lang w:val="nl-BE"/>
        </w:rPr>
      </w:pPr>
      <w:r w:rsidRPr="0011699C">
        <w:rPr>
          <w:lang w:val="nl-BE"/>
        </w:rPr>
        <w:t>§ 1. De aanvrager maakt alle gevraagde informatie met betrekking tot de verschillende Europese rapporteringen over binnen de door de Staat vastgelegde termijnen, namelijk twee keer per jaar:</w:t>
      </w:r>
    </w:p>
    <w:p w14:paraId="5FF48E5C" w14:textId="301BE0AB" w:rsidR="0011699C" w:rsidRPr="00193610" w:rsidRDefault="0011699C" w:rsidP="008673CE">
      <w:pPr>
        <w:pStyle w:val="Bullet1"/>
        <w:rPr>
          <w:rFonts w:eastAsia="Times New Roman" w:cstheme="majorHAnsi"/>
          <w:lang w:val="nl-BE"/>
        </w:rPr>
      </w:pPr>
      <w:r w:rsidRPr="00193610">
        <w:rPr>
          <w:lang w:val="nl-BE"/>
        </w:rPr>
        <w:t>de halfjaarlijkse rapportering over de acties</w:t>
      </w:r>
      <w:r w:rsidR="00792D95">
        <w:rPr>
          <w:lang w:val="nl-BE"/>
        </w:rPr>
        <w:t>;</w:t>
      </w:r>
    </w:p>
    <w:p w14:paraId="44064600" w14:textId="7ACC0D1F" w:rsidR="0011699C" w:rsidRPr="00193610" w:rsidRDefault="0011699C" w:rsidP="008673CE">
      <w:pPr>
        <w:pStyle w:val="Bullet1"/>
        <w:rPr>
          <w:rFonts w:eastAsia="Times New Roman" w:cstheme="majorHAnsi"/>
          <w:lang w:val="nl-BE"/>
        </w:rPr>
      </w:pPr>
      <w:r w:rsidRPr="00193610">
        <w:rPr>
          <w:lang w:val="nl-BE"/>
        </w:rPr>
        <w:t>de rapportering in verband met de betalingsaanvragen</w:t>
      </w:r>
      <w:r w:rsidR="00792D95">
        <w:rPr>
          <w:lang w:val="nl-BE"/>
        </w:rPr>
        <w:t>;</w:t>
      </w:r>
    </w:p>
    <w:p w14:paraId="0DEEF462" w14:textId="768F066D" w:rsidR="0011699C" w:rsidRPr="008A50C8" w:rsidRDefault="00385DB4" w:rsidP="008673CE">
      <w:pPr>
        <w:pStyle w:val="Bullet1"/>
        <w:rPr>
          <w:rFonts w:eastAsia="Times New Roman" w:cstheme="majorHAnsi"/>
          <w:highlight w:val="yellow"/>
          <w:lang w:val="nl-BE"/>
        </w:rPr>
      </w:pPr>
      <w:r w:rsidRPr="00193610">
        <w:rPr>
          <w:highlight w:val="yellow"/>
          <w:lang w:val="nl-BE"/>
        </w:rPr>
        <w:t xml:space="preserve">het totaal van de gecumuleerde uitgaven </w:t>
      </w:r>
      <w:r w:rsidR="0011699C" w:rsidRPr="00193610">
        <w:rPr>
          <w:highlight w:val="yellow"/>
          <w:lang w:val="nl-BE"/>
        </w:rPr>
        <w:t>[</w:t>
      </w:r>
      <w:r w:rsidR="0011699C" w:rsidRPr="00193610">
        <w:rPr>
          <w:i/>
          <w:iCs/>
          <w:highlight w:val="yellow"/>
          <w:lang w:val="nl-BE"/>
        </w:rPr>
        <w:t>enkel indien het project vermeld staat in de lijst van projecten met een groene markering</w:t>
      </w:r>
      <w:r w:rsidR="0011699C" w:rsidRPr="00193610">
        <w:rPr>
          <w:highlight w:val="yellow"/>
          <w:lang w:val="nl-BE"/>
        </w:rPr>
        <w:t>]</w:t>
      </w:r>
      <w:r w:rsidR="00792D95">
        <w:rPr>
          <w:highlight w:val="yellow"/>
          <w:lang w:val="nl-BE"/>
        </w:rPr>
        <w:t>;</w:t>
      </w:r>
    </w:p>
    <w:p w14:paraId="23220821" w14:textId="47AA375F" w:rsidR="0011699C" w:rsidRPr="00193610" w:rsidRDefault="0011699C" w:rsidP="008673CE">
      <w:pPr>
        <w:pStyle w:val="Bullet1"/>
        <w:rPr>
          <w:rFonts w:eastAsia="Times New Roman" w:cstheme="majorHAnsi"/>
          <w:lang w:val="nl-BE"/>
        </w:rPr>
      </w:pPr>
      <w:r w:rsidRPr="008A50C8">
        <w:rPr>
          <w:lang w:val="nl-BE"/>
        </w:rPr>
        <w:t>de verzameling van de voor het project geïdentificeerde prestatie-indicator(en)</w:t>
      </w:r>
      <w:r w:rsidR="00385DB4" w:rsidRPr="008A50C8">
        <w:rPr>
          <w:lang w:val="nl-BE"/>
        </w:rPr>
        <w:t xml:space="preserve"> </w:t>
      </w:r>
      <w:r w:rsidR="00385DB4" w:rsidRPr="008A50C8">
        <w:rPr>
          <w:highlight w:val="yellow"/>
          <w:lang w:val="nl-BE"/>
        </w:rPr>
        <w:t>[</w:t>
      </w:r>
      <w:r w:rsidR="00385DB4" w:rsidRPr="008A50C8">
        <w:rPr>
          <w:i/>
          <w:iCs/>
          <w:highlight w:val="yellow"/>
          <w:lang w:val="nl-BE"/>
        </w:rPr>
        <w:t>enkel indien het project te maken heeft met</w:t>
      </w:r>
      <w:r w:rsidR="00385DB4" w:rsidRPr="008A50C8">
        <w:rPr>
          <w:b/>
          <w:bCs/>
          <w:i/>
          <w:iCs/>
          <w:highlight w:val="yellow"/>
          <w:lang w:val="nl-BE"/>
        </w:rPr>
        <w:t xml:space="preserve"> </w:t>
      </w:r>
      <w:r w:rsidR="00385DB4" w:rsidRPr="008A50C8">
        <w:rPr>
          <w:i/>
          <w:iCs/>
          <w:highlight w:val="yellow"/>
          <w:lang w:val="nl-BE"/>
        </w:rPr>
        <w:t>een of meer indicatoren</w:t>
      </w:r>
      <w:r w:rsidR="00385DB4" w:rsidRPr="008A50C8">
        <w:rPr>
          <w:highlight w:val="yellow"/>
          <w:lang w:val="nl-BE"/>
        </w:rPr>
        <w:t>]</w:t>
      </w:r>
      <w:r w:rsidR="00792D95">
        <w:rPr>
          <w:lang w:val="nl-BE"/>
        </w:rPr>
        <w:t>;</w:t>
      </w:r>
    </w:p>
    <w:p w14:paraId="6B9E9A20" w14:textId="32ED7B99" w:rsidR="0011699C" w:rsidRPr="00193610" w:rsidRDefault="0011699C" w:rsidP="008673CE">
      <w:pPr>
        <w:pStyle w:val="Bullet1"/>
        <w:rPr>
          <w:rFonts w:eastAsia="Times New Roman" w:cstheme="majorHAnsi"/>
          <w:lang w:val="nl-BE"/>
        </w:rPr>
      </w:pPr>
      <w:r w:rsidRPr="00193610">
        <w:rPr>
          <w:lang w:val="nl-BE"/>
        </w:rPr>
        <w:t xml:space="preserve">voor de 15 februari van elk jaar de voorlopige uitvoering van de begroting van het voorgaande jaar per economische code </w:t>
      </w:r>
      <w:r w:rsidRPr="00193610">
        <w:rPr>
          <w:i/>
          <w:iCs/>
          <w:highlight w:val="yellow"/>
          <w:lang w:val="nl-BE"/>
        </w:rPr>
        <w:t>[</w:t>
      </w:r>
      <w:r w:rsidR="00385DB4" w:rsidRPr="00193610">
        <w:rPr>
          <w:i/>
          <w:iCs/>
          <w:highlight w:val="yellow"/>
          <w:lang w:val="nl-BE"/>
        </w:rPr>
        <w:t>a</w:t>
      </w:r>
      <w:r w:rsidRPr="00193610">
        <w:rPr>
          <w:i/>
          <w:iCs/>
          <w:highlight w:val="yellow"/>
          <w:lang w:val="nl-BE"/>
        </w:rPr>
        <w:t>lleen voor de S1311 entiteiten]</w:t>
      </w:r>
      <w:r w:rsidR="00792D95">
        <w:rPr>
          <w:i/>
          <w:iCs/>
          <w:lang w:val="nl-BE"/>
        </w:rPr>
        <w:t>;</w:t>
      </w:r>
    </w:p>
    <w:p w14:paraId="3E8BAA0C" w14:textId="5A9D6DE8" w:rsidR="0011699C" w:rsidRPr="00193610" w:rsidRDefault="0011699C" w:rsidP="008673CE">
      <w:pPr>
        <w:pStyle w:val="Bullet1"/>
        <w:rPr>
          <w:rFonts w:eastAsia="Times New Roman" w:cstheme="majorHAnsi"/>
          <w:lang w:val="nl-BE"/>
        </w:rPr>
      </w:pPr>
      <w:r w:rsidRPr="00193610">
        <w:rPr>
          <w:lang w:val="nl-BE"/>
        </w:rPr>
        <w:t xml:space="preserve">voor de 15 mei van elk jaar de uiteindelijke uitvoering van de begroting van het voorgaande jaar </w:t>
      </w:r>
      <w:r w:rsidRPr="00193610">
        <w:rPr>
          <w:i/>
          <w:iCs/>
          <w:highlight w:val="yellow"/>
          <w:lang w:val="nl-BE"/>
        </w:rPr>
        <w:t>[</w:t>
      </w:r>
      <w:r w:rsidR="00385DB4" w:rsidRPr="00193610">
        <w:rPr>
          <w:i/>
          <w:iCs/>
          <w:highlight w:val="yellow"/>
          <w:lang w:val="nl-BE"/>
        </w:rPr>
        <w:t>a</w:t>
      </w:r>
      <w:r w:rsidRPr="00193610">
        <w:rPr>
          <w:i/>
          <w:iCs/>
          <w:highlight w:val="yellow"/>
          <w:lang w:val="nl-BE"/>
        </w:rPr>
        <w:t>lleen voor de S1311 entiteiten]</w:t>
      </w:r>
      <w:r w:rsidRPr="00193610">
        <w:rPr>
          <w:lang w:val="nl-BE"/>
        </w:rPr>
        <w:t>.</w:t>
      </w:r>
    </w:p>
    <w:p w14:paraId="19536178" w14:textId="14BF444A" w:rsidR="0011699C" w:rsidRPr="0011699C" w:rsidRDefault="0011699C" w:rsidP="008673CE">
      <w:pPr>
        <w:pStyle w:val="Titre3"/>
        <w:numPr>
          <w:ilvl w:val="0"/>
          <w:numId w:val="0"/>
        </w:numPr>
        <w:rPr>
          <w:rFonts w:eastAsia="Times New Roman"/>
          <w:lang w:val="nl-BE" w:eastAsia="fr-BE"/>
        </w:rPr>
      </w:pPr>
      <w:r w:rsidRPr="0011699C">
        <w:rPr>
          <w:rFonts w:eastAsia="Times New Roman"/>
          <w:lang w:val="nl-BE" w:eastAsia="fr-BE"/>
        </w:rPr>
        <w:t>Artikel 7</w:t>
      </w:r>
      <w:r w:rsidRPr="00193610">
        <w:rPr>
          <w:lang w:val="nl-BE"/>
        </w:rPr>
        <w:t xml:space="preserve"> – </w:t>
      </w:r>
      <w:r w:rsidRPr="0011699C">
        <w:rPr>
          <w:rFonts w:eastAsia="Times New Roman"/>
          <w:lang w:val="nl-BE" w:eastAsia="fr-BE"/>
        </w:rPr>
        <w:t>Afwezigheid van dubbele financiering, belangenconflicten, fraude en corruptie</w:t>
      </w:r>
    </w:p>
    <w:p w14:paraId="54FB0C6C" w14:textId="5A7E67B0" w:rsidR="0011699C" w:rsidRPr="0011699C" w:rsidRDefault="0011699C" w:rsidP="008673CE">
      <w:pPr>
        <w:rPr>
          <w:lang w:val="nl-BE" w:eastAsia="fr-BE"/>
        </w:rPr>
      </w:pPr>
      <w:r w:rsidRPr="0011699C">
        <w:rPr>
          <w:lang w:val="nl-BE" w:eastAsia="fr-BE"/>
        </w:rPr>
        <w:t>§ 1.</w:t>
      </w:r>
      <w:r w:rsidRPr="0011699C">
        <w:rPr>
          <w:lang w:val="nl-BE"/>
        </w:rPr>
        <w:t xml:space="preserve"> </w:t>
      </w:r>
      <w:r w:rsidRPr="0011699C">
        <w:rPr>
          <w:lang w:val="nl-BE" w:eastAsia="fr-BE"/>
        </w:rPr>
        <w:t>Overeenkomstig artikel 22 van de EU-Verordening 2021/241 betreffende de bescherming van de financiële belangen van de Unie moet de aanvrager:</w:t>
      </w:r>
    </w:p>
    <w:p w14:paraId="3E187A47" w14:textId="77777777" w:rsidR="0011699C" w:rsidRPr="00193610" w:rsidRDefault="0011699C" w:rsidP="008673CE">
      <w:pPr>
        <w:pStyle w:val="Bullet1"/>
        <w:rPr>
          <w:lang w:val="nl-BE" w:eastAsia="fr-BE"/>
        </w:rPr>
      </w:pPr>
      <w:r w:rsidRPr="00193610">
        <w:rPr>
          <w:lang w:val="nl-BE" w:eastAsia="fr-BE"/>
        </w:rPr>
        <w:t>voorzien in een efficiënt en doelmatig intern controlesysteem,</w:t>
      </w:r>
    </w:p>
    <w:p w14:paraId="4C17D6F9" w14:textId="77777777" w:rsidR="0011699C" w:rsidRPr="00193610" w:rsidRDefault="0011699C" w:rsidP="008673CE">
      <w:pPr>
        <w:pStyle w:val="Bullet1"/>
        <w:rPr>
          <w:lang w:val="nl-BE" w:eastAsia="fr-BE"/>
        </w:rPr>
      </w:pPr>
      <w:r w:rsidRPr="00193610">
        <w:rPr>
          <w:lang w:val="nl-BE" w:eastAsia="fr-BE"/>
        </w:rPr>
        <w:t>maatregelen treffen om elke vorm van fraude, corruptie en belangenconflicten te voorkomen, op te sporen en te corrigeren.</w:t>
      </w:r>
    </w:p>
    <w:p w14:paraId="3FFF7524" w14:textId="53217244" w:rsidR="0011699C" w:rsidRPr="0011699C" w:rsidRDefault="0011699C" w:rsidP="008673CE">
      <w:pPr>
        <w:rPr>
          <w:lang w:val="nl-BE" w:eastAsia="fr-BE"/>
        </w:rPr>
      </w:pPr>
      <w:r w:rsidRPr="0011699C">
        <w:rPr>
          <w:lang w:val="nl-BE" w:eastAsia="fr-BE"/>
        </w:rPr>
        <w:t>Daartoe verklaart de aanvrager op erewoord dat de projectuitgaven niet het voorwerp zijn van dubbele financiering en dat hij een preventieve risicoanalyse heeft verricht, een actieplan heeft opgesteld om ze te beheersen en de nuttige controles heeft verricht. Bij rapportering van de betaalaanvragen maakt de aanvrager de risicoanalyse, het actieplan en de bewijsstukken over aan de administratieve overheid.</w:t>
      </w:r>
    </w:p>
    <w:p w14:paraId="0DB00A2B" w14:textId="3B90595B" w:rsidR="0011699C" w:rsidRPr="0011699C" w:rsidRDefault="0011699C" w:rsidP="008673CE">
      <w:pPr>
        <w:pStyle w:val="Titre3"/>
        <w:numPr>
          <w:ilvl w:val="0"/>
          <w:numId w:val="0"/>
        </w:numPr>
        <w:rPr>
          <w:lang w:val="nl-BE"/>
        </w:rPr>
      </w:pPr>
      <w:r w:rsidRPr="0011699C">
        <w:rPr>
          <w:lang w:val="nl-BE"/>
        </w:rPr>
        <w:t>Artikel 8</w:t>
      </w:r>
      <w:r w:rsidRPr="00193610">
        <w:rPr>
          <w:lang w:val="nl-BE"/>
        </w:rPr>
        <w:t xml:space="preserve"> – </w:t>
      </w:r>
      <w:r w:rsidRPr="0011699C">
        <w:rPr>
          <w:lang w:val="nl-BE"/>
        </w:rPr>
        <w:t>Naleving van het “Do No Significant Harm”-principe</w:t>
      </w:r>
    </w:p>
    <w:p w14:paraId="77D19C95" w14:textId="648E485A" w:rsidR="0011699C" w:rsidRPr="0011699C" w:rsidRDefault="0011699C" w:rsidP="008673CE">
      <w:pPr>
        <w:rPr>
          <w:lang w:val="nl-BE"/>
        </w:rPr>
      </w:pPr>
      <w:r w:rsidRPr="0011699C">
        <w:rPr>
          <w:lang w:val="nl-BE"/>
        </w:rPr>
        <w:t>§ 1. De regeling die de herstel- en veerkrachtfaciliteit (HVF) bepaalt, voorziet erin dat geen enkele in een herstel- en veerkrachtplan (HVP) opgenomen maatregel significante schade mag toebrengen aan de milieudoelstellingen, genoemd in artikel 17 en hieronder opgesomd:</w:t>
      </w:r>
    </w:p>
    <w:p w14:paraId="6DB9281A" w14:textId="417A9430" w:rsidR="0011699C" w:rsidRPr="0011699C" w:rsidRDefault="00792D95" w:rsidP="008673CE">
      <w:pPr>
        <w:pStyle w:val="Bullet1"/>
      </w:pPr>
      <w:proofErr w:type="spellStart"/>
      <w:r>
        <w:t>m</w:t>
      </w:r>
      <w:r w:rsidR="0011699C" w:rsidRPr="0011699C">
        <w:t>itigatie</w:t>
      </w:r>
      <w:proofErr w:type="spellEnd"/>
      <w:r w:rsidR="0011699C" w:rsidRPr="0011699C">
        <w:t xml:space="preserve"> van de </w:t>
      </w:r>
      <w:proofErr w:type="spellStart"/>
      <w:r w:rsidR="0011699C" w:rsidRPr="0011699C">
        <w:t>klimaatverandering</w:t>
      </w:r>
      <w:proofErr w:type="spellEnd"/>
      <w:r w:rsidR="0011699C" w:rsidRPr="0011699C">
        <w:t>;</w:t>
      </w:r>
    </w:p>
    <w:p w14:paraId="734468C6" w14:textId="1693DA12" w:rsidR="0011699C" w:rsidRPr="0011699C" w:rsidRDefault="00792D95" w:rsidP="008673CE">
      <w:pPr>
        <w:pStyle w:val="Bullet1"/>
      </w:pPr>
      <w:proofErr w:type="spellStart"/>
      <w:r>
        <w:t>a</w:t>
      </w:r>
      <w:r w:rsidR="0011699C" w:rsidRPr="0011699C">
        <w:t>anpassing</w:t>
      </w:r>
      <w:proofErr w:type="spellEnd"/>
      <w:r w:rsidR="0011699C" w:rsidRPr="0011699C">
        <w:t xml:space="preserve"> </w:t>
      </w:r>
      <w:proofErr w:type="spellStart"/>
      <w:r w:rsidR="0011699C" w:rsidRPr="0011699C">
        <w:t>aan</w:t>
      </w:r>
      <w:proofErr w:type="spellEnd"/>
      <w:r w:rsidR="0011699C" w:rsidRPr="0011699C">
        <w:t xml:space="preserve"> </w:t>
      </w:r>
      <w:proofErr w:type="spellStart"/>
      <w:r w:rsidR="0011699C" w:rsidRPr="0011699C">
        <w:t>klimaatverandering</w:t>
      </w:r>
      <w:proofErr w:type="spellEnd"/>
      <w:r w:rsidR="0011699C" w:rsidRPr="0011699C">
        <w:t>;</w:t>
      </w:r>
    </w:p>
    <w:p w14:paraId="22747389" w14:textId="412195D8" w:rsidR="0011699C" w:rsidRPr="008A50C8" w:rsidRDefault="00792D95" w:rsidP="008673CE">
      <w:pPr>
        <w:pStyle w:val="Bullet1"/>
        <w:rPr>
          <w:bCs/>
          <w:lang w:val="nl-BE"/>
        </w:rPr>
      </w:pPr>
      <w:r>
        <w:rPr>
          <w:bCs/>
          <w:lang w:val="nl-BE"/>
        </w:rPr>
        <w:t>d</w:t>
      </w:r>
      <w:r w:rsidR="0011699C" w:rsidRPr="008A50C8">
        <w:rPr>
          <w:bCs/>
          <w:lang w:val="nl-BE"/>
        </w:rPr>
        <w:t>uurzaam gebruik en bescherming van water en mariene hulpbronnen;</w:t>
      </w:r>
    </w:p>
    <w:p w14:paraId="3A2E6651" w14:textId="407E46E0" w:rsidR="0011699C" w:rsidRPr="008A50C8" w:rsidRDefault="00792D95" w:rsidP="008673CE">
      <w:pPr>
        <w:pStyle w:val="Bullet1"/>
        <w:rPr>
          <w:bCs/>
          <w:lang w:val="nl-BE"/>
        </w:rPr>
      </w:pPr>
      <w:r>
        <w:rPr>
          <w:bCs/>
          <w:lang w:val="nl-BE"/>
        </w:rPr>
        <w:t>t</w:t>
      </w:r>
      <w:r w:rsidR="0011699C" w:rsidRPr="008A50C8">
        <w:rPr>
          <w:bCs/>
          <w:lang w:val="nl-BE"/>
        </w:rPr>
        <w:t>ransitie naar een circulaire economie, met inbegrip van afvalpreventie en -recyclage;</w:t>
      </w:r>
    </w:p>
    <w:p w14:paraId="2117F889" w14:textId="4771DD2F" w:rsidR="0011699C" w:rsidRPr="008A50C8" w:rsidRDefault="00792D95" w:rsidP="008673CE">
      <w:pPr>
        <w:pStyle w:val="Bullet1"/>
        <w:rPr>
          <w:bCs/>
          <w:lang w:val="nl-BE"/>
        </w:rPr>
      </w:pPr>
      <w:r>
        <w:rPr>
          <w:bCs/>
          <w:lang w:val="nl-BE"/>
        </w:rPr>
        <w:t>p</w:t>
      </w:r>
      <w:r w:rsidR="0011699C" w:rsidRPr="008A50C8">
        <w:rPr>
          <w:bCs/>
          <w:lang w:val="nl-BE"/>
        </w:rPr>
        <w:t>reventie en controle van verontreiniging;</w:t>
      </w:r>
    </w:p>
    <w:p w14:paraId="2FA661B5" w14:textId="763F3DCC" w:rsidR="0011699C" w:rsidRPr="008A50C8" w:rsidRDefault="00792D95" w:rsidP="008673CE">
      <w:pPr>
        <w:pStyle w:val="Bullet1"/>
        <w:rPr>
          <w:bCs/>
          <w:lang w:val="nl-BE"/>
        </w:rPr>
      </w:pPr>
      <w:r>
        <w:rPr>
          <w:bCs/>
          <w:lang w:val="nl-BE"/>
        </w:rPr>
        <w:lastRenderedPageBreak/>
        <w:t>b</w:t>
      </w:r>
      <w:r w:rsidR="0011699C" w:rsidRPr="008A50C8">
        <w:rPr>
          <w:bCs/>
          <w:lang w:val="nl-BE"/>
        </w:rPr>
        <w:t>escherming en herstel van de biodiversiteit en ecosystemen.</w:t>
      </w:r>
    </w:p>
    <w:p w14:paraId="71F482D7" w14:textId="5FE84349" w:rsidR="0011699C" w:rsidRPr="0011699C" w:rsidRDefault="0011699C" w:rsidP="008673CE">
      <w:pPr>
        <w:rPr>
          <w:lang w:val="nl-BE"/>
        </w:rPr>
      </w:pPr>
      <w:r w:rsidRPr="0011699C">
        <w:rPr>
          <w:lang w:val="nl-BE"/>
        </w:rPr>
        <w:t>§ 2. De naleving van het DNSH-principe</w:t>
      </w:r>
      <w:r w:rsidR="00792D95">
        <w:rPr>
          <w:lang w:val="nl-BE"/>
        </w:rPr>
        <w:t xml:space="preserve"> (Do No Significant Harm-principe)</w:t>
      </w:r>
      <w:r w:rsidRPr="0011699C">
        <w:rPr>
          <w:lang w:val="nl-BE"/>
        </w:rPr>
        <w:t xml:space="preserve"> is een horizontaal principe van de HVF. Bijgevolg moet het project daarmee in overeenstemming zijn. Elke tekortkoming aan deze verplichting kan leiden tot een tijdelijke opschorting of zelfs een definitieve verlaging van de aan België toegekende financiële middelen. Een dergelijke verlaging zal vervolgens </w:t>
      </w:r>
      <w:proofErr w:type="spellStart"/>
      <w:r w:rsidRPr="0011699C">
        <w:rPr>
          <w:lang w:val="nl-BE"/>
        </w:rPr>
        <w:t>rechtevenredig</w:t>
      </w:r>
      <w:proofErr w:type="spellEnd"/>
      <w:r w:rsidRPr="0011699C">
        <w:rPr>
          <w:lang w:val="nl-BE"/>
        </w:rPr>
        <w:t xml:space="preserve"> in mindering worden gebracht van het subsidiebedrag dat werd toegekend aan de opdrachtnemer en, indien nodig, leiden tot een terugvordering. Daarom moet de aanvrager bijzondere aandacht besteden aan de naleving van dit principe gedurende de volledige looptijd van het project en zal dit zowel aan interne controle als aan een controle van de Europese Commissie worden onderworpen.</w:t>
      </w:r>
    </w:p>
    <w:p w14:paraId="24EDE433" w14:textId="5DAF4626" w:rsidR="0011699C" w:rsidRPr="0011699C" w:rsidRDefault="0011699C" w:rsidP="008673CE">
      <w:pPr>
        <w:pStyle w:val="Titre3"/>
        <w:numPr>
          <w:ilvl w:val="0"/>
          <w:numId w:val="0"/>
        </w:numPr>
        <w:rPr>
          <w:rFonts w:eastAsia="Times New Roman" w:cstheme="majorHAnsi"/>
          <w:bCs/>
          <w:lang w:val="nl-BE"/>
        </w:rPr>
      </w:pPr>
      <w:r w:rsidRPr="0011699C">
        <w:rPr>
          <w:lang w:val="nl-BE"/>
        </w:rPr>
        <w:t>Artikel 9</w:t>
      </w:r>
      <w:r w:rsidRPr="008A50C8">
        <w:rPr>
          <w:lang w:val="nl-BE"/>
        </w:rPr>
        <w:t xml:space="preserve"> – </w:t>
      </w:r>
      <w:r w:rsidRPr="0011699C">
        <w:rPr>
          <w:lang w:val="nl-BE"/>
        </w:rPr>
        <w:t>Communicatie</w:t>
      </w:r>
    </w:p>
    <w:p w14:paraId="347A1E91" w14:textId="77777777" w:rsidR="0011699C" w:rsidRPr="0011699C" w:rsidRDefault="0011699C" w:rsidP="008673CE">
      <w:pPr>
        <w:rPr>
          <w:rFonts w:eastAsia="Times New Roman" w:cstheme="majorHAnsi"/>
          <w:lang w:val="nl-BE"/>
        </w:rPr>
      </w:pPr>
      <w:r w:rsidRPr="0011699C">
        <w:rPr>
          <w:lang w:val="nl-BE"/>
        </w:rPr>
        <w:t>§ 1. Artikel 34, paragraaf 2 van Verordening (EU) 241/2021 bepaalt het volgende:</w:t>
      </w:r>
    </w:p>
    <w:p w14:paraId="4BF38082" w14:textId="783B0C91" w:rsidR="0011699C" w:rsidRPr="0011699C" w:rsidRDefault="0011699C" w:rsidP="008673CE">
      <w:pPr>
        <w:rPr>
          <w:rFonts w:eastAsia="Times New Roman" w:cstheme="majorHAnsi"/>
          <w:lang w:val="nl-BE"/>
        </w:rPr>
      </w:pPr>
      <w:r w:rsidRPr="0011699C">
        <w:rPr>
          <w:lang w:val="nl-BE"/>
        </w:rPr>
        <w:t xml:space="preserve">"De ontvangers van financiering van de Unie vermelden de oorsprong van de middelen en zorgen voor de zichtbaarheid van de financiering van de Unie, in voorkomend geval door het embleem van de Unie aan te brengen en de financiering met de woorden "gefinancierd door de EU – </w:t>
      </w:r>
      <w:proofErr w:type="spellStart"/>
      <w:r w:rsidRPr="0011699C">
        <w:rPr>
          <w:lang w:val="nl-BE"/>
        </w:rPr>
        <w:t>NextGenerationEU</w:t>
      </w:r>
      <w:proofErr w:type="spellEnd"/>
      <w:r w:rsidRPr="0011699C">
        <w:rPr>
          <w:lang w:val="nl-BE"/>
        </w:rPr>
        <w:t>" adequaat te vermelden, met name bij het bevorderen van acties en de resultaten daarvan; het verstrekken van gerichte, consistente, doeltreffende en evenredige informatie aan diverse doelgroepen, waaronder de media en het grote publiek."</w:t>
      </w:r>
    </w:p>
    <w:p w14:paraId="2BF049C5" w14:textId="0C5E1BFA" w:rsidR="0011699C" w:rsidRPr="00385DB4" w:rsidRDefault="0011699C" w:rsidP="008673CE">
      <w:pPr>
        <w:rPr>
          <w:rFonts w:eastAsia="Times New Roman" w:cstheme="majorHAnsi"/>
          <w:lang w:val="nl-BE"/>
        </w:rPr>
      </w:pPr>
      <w:r w:rsidRPr="0011699C">
        <w:rPr>
          <w:lang w:val="nl-BE"/>
        </w:rPr>
        <w:t>§ 2</w:t>
      </w:r>
      <w:r w:rsidRPr="00385DB4">
        <w:rPr>
          <w:lang w:val="nl-BE"/>
        </w:rPr>
        <w:t>. In toepassing van §1</w:t>
      </w:r>
      <w:r w:rsidR="00385DB4" w:rsidRPr="00385DB4">
        <w:rPr>
          <w:lang w:val="nl-BE"/>
        </w:rPr>
        <w:t>,</w:t>
      </w:r>
      <w:r w:rsidRPr="00385DB4">
        <w:rPr>
          <w:lang w:val="nl-BE"/>
        </w:rPr>
        <w:t xml:space="preserve"> is de aanvrager verplicht om:</w:t>
      </w:r>
    </w:p>
    <w:p w14:paraId="3C4AD066" w14:textId="4BE22DAC" w:rsidR="0011699C" w:rsidRPr="00385DB4" w:rsidRDefault="0011699C" w:rsidP="008673CE">
      <w:pPr>
        <w:pStyle w:val="Bullet1"/>
        <w:jc w:val="left"/>
        <w:rPr>
          <w:rFonts w:eastAsia="Times New Roman" w:cstheme="majorHAnsi"/>
          <w:lang w:val="nl-BE"/>
        </w:rPr>
      </w:pPr>
      <w:r w:rsidRPr="00385DB4">
        <w:rPr>
          <w:lang w:val="nl-BE"/>
        </w:rPr>
        <w:t xml:space="preserve">de steun van </w:t>
      </w:r>
      <w:r w:rsidR="00792D95">
        <w:rPr>
          <w:lang w:val="nl-BE"/>
        </w:rPr>
        <w:t>de</w:t>
      </w:r>
      <w:r w:rsidRPr="00385DB4">
        <w:rPr>
          <w:lang w:val="nl-BE"/>
        </w:rPr>
        <w:t xml:space="preserve"> </w:t>
      </w:r>
      <w:r w:rsidR="00A73759">
        <w:rPr>
          <w:lang w:val="nl-BE"/>
        </w:rPr>
        <w:t>h</w:t>
      </w:r>
      <w:r w:rsidR="00792D95" w:rsidRPr="008A50C8">
        <w:rPr>
          <w:lang w:val="nl-BE"/>
        </w:rPr>
        <w:t xml:space="preserve">erstel- en </w:t>
      </w:r>
      <w:r w:rsidR="00A73759">
        <w:rPr>
          <w:lang w:val="nl-BE"/>
        </w:rPr>
        <w:t>v</w:t>
      </w:r>
      <w:r w:rsidR="00792D95" w:rsidRPr="008A50C8">
        <w:rPr>
          <w:lang w:val="nl-BE"/>
        </w:rPr>
        <w:t>eerkrachtfaciliteit van de Europese unie</w:t>
      </w:r>
      <w:r w:rsidR="00792D95" w:rsidRPr="008A50C8">
        <w:rPr>
          <w:rFonts w:ascii="Roboto" w:hAnsi="Roboto"/>
          <w:color w:val="666666"/>
          <w:sz w:val="21"/>
          <w:szCs w:val="21"/>
          <w:shd w:val="clear" w:color="auto" w:fill="FFFFFF"/>
          <w:lang w:val="nl-NL"/>
        </w:rPr>
        <w:t> </w:t>
      </w:r>
      <w:r w:rsidR="00792D95" w:rsidRPr="008A50C8">
        <w:rPr>
          <w:lang w:val="nl-BE"/>
        </w:rPr>
        <w:t xml:space="preserve">(Recovery </w:t>
      </w:r>
      <w:proofErr w:type="spellStart"/>
      <w:r w:rsidR="00792D95" w:rsidRPr="008A50C8">
        <w:rPr>
          <w:lang w:val="nl-BE"/>
        </w:rPr>
        <w:t>and</w:t>
      </w:r>
      <w:proofErr w:type="spellEnd"/>
      <w:r w:rsidR="00792D95" w:rsidRPr="008A50C8">
        <w:rPr>
          <w:lang w:val="nl-BE"/>
        </w:rPr>
        <w:t xml:space="preserve"> </w:t>
      </w:r>
      <w:proofErr w:type="spellStart"/>
      <w:r w:rsidR="00792D95" w:rsidRPr="008A50C8">
        <w:rPr>
          <w:lang w:val="nl-BE"/>
        </w:rPr>
        <w:t>Resiliance</w:t>
      </w:r>
      <w:proofErr w:type="spellEnd"/>
      <w:r w:rsidR="00792D95" w:rsidRPr="008A50C8">
        <w:rPr>
          <w:lang w:val="nl-BE"/>
        </w:rPr>
        <w:t xml:space="preserve"> Facility, </w:t>
      </w:r>
      <w:r w:rsidRPr="00385DB4">
        <w:rPr>
          <w:lang w:val="nl-BE"/>
        </w:rPr>
        <w:t>RRF</w:t>
      </w:r>
      <w:r w:rsidR="00792D95">
        <w:rPr>
          <w:lang w:val="nl-BE"/>
        </w:rPr>
        <w:t>)</w:t>
      </w:r>
      <w:r w:rsidRPr="00385DB4">
        <w:rPr>
          <w:lang w:val="nl-BE"/>
        </w:rPr>
        <w:t xml:space="preserve"> te vermelden voor alle communicatie- en informatieacties, met het EU-embleem en verwijzend naar de EU en het RRF:</w:t>
      </w:r>
      <w:r w:rsidR="008673CE" w:rsidRPr="00385DB4">
        <w:rPr>
          <w:lang w:val="nl-BE"/>
        </w:rPr>
        <w:br/>
      </w:r>
      <w:hyperlink r:id="rId13" w:history="1">
        <w:r w:rsidRPr="00385DB4">
          <w:rPr>
            <w:rStyle w:val="Lienhypertexte"/>
            <w:lang w:val="nl-BE"/>
          </w:rPr>
          <w:t>https://ec.europa.eu/regional_policy/en/information/logos_downloadcenter/</w:t>
        </w:r>
      </w:hyperlink>
    </w:p>
    <w:p w14:paraId="1D29BDFC" w14:textId="6C603A95" w:rsidR="0011699C" w:rsidRPr="00385DB4" w:rsidRDefault="0011699C" w:rsidP="008673CE">
      <w:pPr>
        <w:pStyle w:val="Bullet1"/>
        <w:rPr>
          <w:rFonts w:eastAsia="Times New Roman" w:cstheme="majorHAnsi"/>
          <w:lang w:val="nl-BE"/>
        </w:rPr>
      </w:pPr>
      <w:r w:rsidRPr="00385DB4">
        <w:rPr>
          <w:lang w:val="nl-BE"/>
        </w:rPr>
        <w:t>projectdeelnemers te informeren over de oorsprong van RRF-financiering;</w:t>
      </w:r>
    </w:p>
    <w:p w14:paraId="656A39B9" w14:textId="3EFF08AF" w:rsidR="0011699C" w:rsidRPr="008A50C8" w:rsidRDefault="0011699C" w:rsidP="008673CE">
      <w:pPr>
        <w:pStyle w:val="Bullet1"/>
        <w:rPr>
          <w:rFonts w:eastAsia="Times New Roman" w:cstheme="majorHAnsi"/>
          <w:lang w:val="nl-BE"/>
        </w:rPr>
      </w:pPr>
      <w:r w:rsidRPr="008A50C8">
        <w:rPr>
          <w:lang w:val="nl-BE"/>
        </w:rPr>
        <w:t xml:space="preserve">een billboard of een permanente plaquette te tonen voor infrastructuur- en/of bouwfinancieringsoperaties die door </w:t>
      </w:r>
      <w:r w:rsidR="00A73759">
        <w:rPr>
          <w:lang w:val="nl-BE"/>
        </w:rPr>
        <w:t>de</w:t>
      </w:r>
      <w:r w:rsidRPr="008A50C8">
        <w:rPr>
          <w:lang w:val="nl-BE"/>
        </w:rPr>
        <w:t xml:space="preserve"> RRF worden gefinancierd.</w:t>
      </w:r>
    </w:p>
    <w:p w14:paraId="467C920E" w14:textId="7AD778E7" w:rsidR="0011699C" w:rsidRPr="0011699C" w:rsidRDefault="0011699C" w:rsidP="008673CE">
      <w:pPr>
        <w:pStyle w:val="Titre3"/>
        <w:numPr>
          <w:ilvl w:val="0"/>
          <w:numId w:val="0"/>
        </w:numPr>
        <w:rPr>
          <w:lang w:val="nl-BE"/>
        </w:rPr>
      </w:pPr>
      <w:r w:rsidRPr="0011699C">
        <w:rPr>
          <w:lang w:val="nl-BE"/>
        </w:rPr>
        <w:t>Artikel 10</w:t>
      </w:r>
      <w:r w:rsidRPr="008A50C8">
        <w:rPr>
          <w:lang w:val="nl-BE"/>
        </w:rPr>
        <w:t xml:space="preserve"> – </w:t>
      </w:r>
      <w:r w:rsidRPr="0011699C">
        <w:rPr>
          <w:lang w:val="nl-BE"/>
        </w:rPr>
        <w:t>Naleving van het staatssteunregime</w:t>
      </w:r>
    </w:p>
    <w:p w14:paraId="51618CC5" w14:textId="6E05ECEB" w:rsidR="0011699C" w:rsidRDefault="0011699C" w:rsidP="008673CE">
      <w:pPr>
        <w:rPr>
          <w:lang w:val="nl-BE" w:eastAsia="fr-BE"/>
        </w:rPr>
      </w:pPr>
      <w:r w:rsidRPr="0011699C">
        <w:rPr>
          <w:lang w:val="nl-BE" w:eastAsia="fr-BE"/>
        </w:rPr>
        <w:t>§1. Indien de voorziene steun niet kan genieten van een vrijstelling in het kader van de</w:t>
      </w:r>
      <w:r w:rsidR="006A796C" w:rsidRPr="008A50C8">
        <w:rPr>
          <w:rFonts w:ascii="Arial" w:hAnsi="Arial" w:cs="Arial"/>
          <w:color w:val="4D5156"/>
          <w:sz w:val="21"/>
          <w:szCs w:val="21"/>
          <w:shd w:val="clear" w:color="auto" w:fill="FFFFFF"/>
          <w:lang w:val="nl-NL"/>
        </w:rPr>
        <w:t xml:space="preserve"> </w:t>
      </w:r>
      <w:r w:rsidR="006A796C" w:rsidRPr="008A50C8">
        <w:rPr>
          <w:lang w:val="nl-BE" w:eastAsia="fr-BE"/>
        </w:rPr>
        <w:t>algemene groepsvrijstellingsverordening</w:t>
      </w:r>
      <w:r w:rsidRPr="0011699C">
        <w:rPr>
          <w:lang w:val="nl-BE" w:eastAsia="fr-BE"/>
        </w:rPr>
        <w:t xml:space="preserve"> </w:t>
      </w:r>
      <w:r w:rsidR="006A796C">
        <w:rPr>
          <w:lang w:val="nl-BE" w:eastAsia="fr-BE"/>
        </w:rPr>
        <w:t>(</w:t>
      </w:r>
      <w:r w:rsidRPr="0011699C">
        <w:rPr>
          <w:lang w:val="nl-BE" w:eastAsia="fr-BE"/>
        </w:rPr>
        <w:t>AGVV</w:t>
      </w:r>
      <w:r w:rsidR="006A796C">
        <w:rPr>
          <w:lang w:val="nl-BE" w:eastAsia="fr-BE"/>
        </w:rPr>
        <w:t>)</w:t>
      </w:r>
      <w:r w:rsidRPr="0011699C">
        <w:rPr>
          <w:lang w:val="nl-BE" w:eastAsia="fr-BE"/>
        </w:rPr>
        <w:t>, zal deze conventie enkel in werking treden indien de steun goedgekeurd is door de Europese Commissie.</w:t>
      </w:r>
    </w:p>
    <w:p w14:paraId="3612BF15" w14:textId="4C9A2A9C" w:rsidR="0011699C" w:rsidRPr="0011699C" w:rsidRDefault="0011699C" w:rsidP="008673CE">
      <w:pPr>
        <w:pStyle w:val="Titre3"/>
        <w:numPr>
          <w:ilvl w:val="0"/>
          <w:numId w:val="0"/>
        </w:numPr>
        <w:rPr>
          <w:lang w:val="nl-BE"/>
        </w:rPr>
      </w:pPr>
      <w:r w:rsidRPr="0011699C">
        <w:rPr>
          <w:lang w:val="nl-BE"/>
        </w:rPr>
        <w:t>Artikel 11</w:t>
      </w:r>
      <w:r w:rsidRPr="008A50C8">
        <w:rPr>
          <w:lang w:val="nl-BE"/>
        </w:rPr>
        <w:t xml:space="preserve"> – </w:t>
      </w:r>
      <w:r w:rsidRPr="0011699C">
        <w:rPr>
          <w:lang w:val="nl-BE"/>
        </w:rPr>
        <w:t>Geschillenbeslechting</w:t>
      </w:r>
    </w:p>
    <w:p w14:paraId="08395AE7" w14:textId="58FCFC50" w:rsidR="0011699C" w:rsidRPr="0011699C" w:rsidRDefault="0011699C" w:rsidP="008673CE">
      <w:pPr>
        <w:rPr>
          <w:lang w:val="nl-BE" w:eastAsia="nl-BE"/>
        </w:rPr>
      </w:pPr>
      <w:r w:rsidRPr="0011699C">
        <w:rPr>
          <w:lang w:val="nl-BE"/>
        </w:rPr>
        <w:t xml:space="preserve">De </w:t>
      </w:r>
      <w:r w:rsidR="00385DB4">
        <w:rPr>
          <w:lang w:val="nl-BE"/>
        </w:rPr>
        <w:t>P</w:t>
      </w:r>
      <w:r w:rsidRPr="0011699C">
        <w:rPr>
          <w:lang w:val="nl-BE"/>
        </w:rPr>
        <w:t>artijen zullen zich inspannen om eventuele verschillen in interpretatie en/of invulling van dit protocol in der minne te regelen. Een geschil tussen de partijen dat voortspruit uit dit protocol, en dat niet in der minne kan worden opgelost, behoort tot de exclusieve bevoegdheid van de Belgische rechtbanken.</w:t>
      </w:r>
    </w:p>
    <w:p w14:paraId="14D69460" w14:textId="4B762BCA" w:rsidR="0011699C" w:rsidRPr="0011699C" w:rsidRDefault="0011699C" w:rsidP="008673CE">
      <w:pPr>
        <w:rPr>
          <w:lang w:val="nl-BE"/>
        </w:rPr>
      </w:pPr>
      <w:r w:rsidRPr="0011699C">
        <w:rPr>
          <w:lang w:val="nl-BE"/>
        </w:rPr>
        <w:t xml:space="preserve">Opgemaakt te </w:t>
      </w:r>
      <w:r w:rsidRPr="0011699C">
        <w:rPr>
          <w:highlight w:val="yellow"/>
          <w:lang w:val="nl-BE"/>
        </w:rPr>
        <w:t>…………………………………………….</w:t>
      </w:r>
      <w:r w:rsidRPr="0011699C">
        <w:rPr>
          <w:lang w:val="nl-BE"/>
        </w:rPr>
        <w:t xml:space="preserve"> op </w:t>
      </w:r>
      <w:r w:rsidRPr="0011699C">
        <w:rPr>
          <w:highlight w:val="yellow"/>
          <w:lang w:val="nl-BE"/>
        </w:rPr>
        <w:t>**</w:t>
      </w:r>
      <w:r w:rsidR="00385DB4">
        <w:rPr>
          <w:highlight w:val="yellow"/>
          <w:lang w:val="nl-BE"/>
        </w:rPr>
        <w:t>.</w:t>
      </w:r>
      <w:r w:rsidRPr="0011699C">
        <w:rPr>
          <w:highlight w:val="yellow"/>
          <w:lang w:val="nl-BE"/>
        </w:rPr>
        <w:t>**</w:t>
      </w:r>
      <w:r w:rsidR="00385DB4">
        <w:rPr>
          <w:highlight w:val="yellow"/>
          <w:lang w:val="nl-BE"/>
        </w:rPr>
        <w:t>.</w:t>
      </w:r>
      <w:r w:rsidRPr="0011699C">
        <w:rPr>
          <w:highlight w:val="yellow"/>
          <w:lang w:val="nl-BE"/>
        </w:rPr>
        <w:t>2022</w:t>
      </w:r>
      <w:r w:rsidRPr="0011699C">
        <w:rPr>
          <w:lang w:val="nl-BE"/>
        </w:rPr>
        <w:t xml:space="preserve"> in twee exemplaren.</w:t>
      </w:r>
    </w:p>
    <w:p w14:paraId="0706F507" w14:textId="77777777" w:rsidR="0011699C" w:rsidRPr="0011699C" w:rsidRDefault="0011699C" w:rsidP="008673CE">
      <w:pPr>
        <w:rPr>
          <w:highlight w:val="green"/>
          <w:lang w:val="nl-BE"/>
        </w:rPr>
      </w:pPr>
    </w:p>
    <w:p w14:paraId="30F2D254" w14:textId="77777777" w:rsidR="0011699C" w:rsidRPr="0011699C" w:rsidRDefault="0011699C" w:rsidP="008673CE">
      <w:pPr>
        <w:rPr>
          <w:highlight w:val="green"/>
          <w:lang w:val="nl-BE"/>
        </w:rPr>
      </w:pPr>
    </w:p>
    <w:p w14:paraId="6E7BB09D" w14:textId="77777777" w:rsidR="0011699C" w:rsidRPr="0011699C" w:rsidRDefault="0011699C" w:rsidP="008673CE">
      <w:pPr>
        <w:rPr>
          <w:highlight w:val="green"/>
          <w:lang w:val="nl-BE"/>
        </w:rPr>
      </w:pPr>
    </w:p>
    <w:p w14:paraId="1A33578C" w14:textId="5E8EF429" w:rsidR="0011699C" w:rsidRPr="0011699C" w:rsidRDefault="0011699C" w:rsidP="008673CE">
      <w:pPr>
        <w:rPr>
          <w:lang w:val="nl-BE"/>
        </w:rPr>
      </w:pPr>
      <w:r w:rsidRPr="0011699C">
        <w:rPr>
          <w:lang w:val="nl-BE"/>
        </w:rPr>
        <w:t>De aanvrager</w:t>
      </w:r>
    </w:p>
    <w:p w14:paraId="3EB2478A" w14:textId="77777777" w:rsidR="0011699C" w:rsidRPr="0011699C" w:rsidRDefault="0011699C" w:rsidP="008673CE">
      <w:pPr>
        <w:rPr>
          <w:lang w:val="nl-BE"/>
        </w:rPr>
      </w:pPr>
    </w:p>
    <w:p w14:paraId="586F3D04" w14:textId="77777777" w:rsidR="0011699C" w:rsidRPr="0011699C" w:rsidRDefault="0011699C" w:rsidP="008673CE">
      <w:pPr>
        <w:rPr>
          <w:lang w:val="nl-BE"/>
        </w:rPr>
      </w:pPr>
    </w:p>
    <w:p w14:paraId="3E84B206" w14:textId="77777777" w:rsidR="0011699C" w:rsidRPr="0011699C" w:rsidRDefault="0011699C" w:rsidP="008673CE">
      <w:pPr>
        <w:rPr>
          <w:lang w:val="nl-BE"/>
        </w:rPr>
      </w:pPr>
      <w:r w:rsidRPr="0011699C">
        <w:rPr>
          <w:lang w:val="nl-BE"/>
        </w:rPr>
        <w:t>De Staat</w:t>
      </w:r>
    </w:p>
    <w:p w14:paraId="79A39D4D" w14:textId="2D399EEA" w:rsidR="0011699C" w:rsidRDefault="0011699C" w:rsidP="0011699C">
      <w:pPr>
        <w:rPr>
          <w:lang w:val="nl-BE"/>
        </w:rPr>
      </w:pPr>
    </w:p>
    <w:p w14:paraId="16923E91" w14:textId="77777777" w:rsidR="00385DB4" w:rsidRPr="0011699C" w:rsidRDefault="00385DB4" w:rsidP="0011699C">
      <w:pPr>
        <w:rPr>
          <w:lang w:val="nl-BE"/>
        </w:rPr>
      </w:pPr>
    </w:p>
    <w:sectPr w:rsidR="00385DB4" w:rsidRPr="0011699C" w:rsidSect="00DB0FA2">
      <w:headerReference w:type="even" r:id="rId14"/>
      <w:headerReference w:type="default" r:id="rId15"/>
      <w:footerReference w:type="even" r:id="rId16"/>
      <w:footerReference w:type="default" r:id="rId17"/>
      <w:headerReference w:type="first" r:id="rId18"/>
      <w:footerReference w:type="first" r:id="rId19"/>
      <w:pgSz w:w="11906" w:h="16838" w:code="9"/>
      <w:pgMar w:top="1418" w:right="1701" w:bottom="1134" w:left="1701" w:header="567" w:footer="7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9B543" w14:textId="77777777" w:rsidR="00D536C2" w:rsidRDefault="00D536C2" w:rsidP="00DB0FA2">
      <w:r>
        <w:separator/>
      </w:r>
    </w:p>
    <w:p w14:paraId="12CBAC9A" w14:textId="77777777" w:rsidR="00D536C2" w:rsidRDefault="00D536C2" w:rsidP="00DB0FA2"/>
    <w:p w14:paraId="2AA93A95" w14:textId="77777777" w:rsidR="00D536C2" w:rsidRDefault="00D536C2" w:rsidP="00DB0FA2"/>
    <w:p w14:paraId="3939272B" w14:textId="77777777" w:rsidR="00D536C2" w:rsidRDefault="00D536C2" w:rsidP="00DB0FA2"/>
  </w:endnote>
  <w:endnote w:type="continuationSeparator" w:id="0">
    <w:p w14:paraId="04FEF4C9" w14:textId="77777777" w:rsidR="00D536C2" w:rsidRDefault="00D536C2" w:rsidP="00DB0FA2">
      <w:r>
        <w:continuationSeparator/>
      </w:r>
    </w:p>
    <w:p w14:paraId="44018854" w14:textId="77777777" w:rsidR="00D536C2" w:rsidRDefault="00D536C2" w:rsidP="00DB0FA2"/>
    <w:p w14:paraId="09D7D908" w14:textId="77777777" w:rsidR="00D536C2" w:rsidRDefault="00D536C2" w:rsidP="00DB0FA2"/>
    <w:p w14:paraId="38ADCB91" w14:textId="77777777" w:rsidR="00D536C2" w:rsidRDefault="00D536C2" w:rsidP="00DB0F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DINPro-Regular">
    <w:altName w:val="Calibri"/>
    <w:panose1 w:val="00000000000000000000"/>
    <w:charset w:val="00"/>
    <w:family w:val="modern"/>
    <w:notTrueType/>
    <w:pitch w:val="variable"/>
    <w:sig w:usb0="800002AF" w:usb1="4000206A" w:usb2="00000000" w:usb3="00000000" w:csb0="0000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B37BB" w14:textId="77777777" w:rsidR="00D536C2" w:rsidRDefault="00D536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721468"/>
      <w:docPartObj>
        <w:docPartGallery w:val="Page Numbers (Bottom of Page)"/>
        <w:docPartUnique/>
      </w:docPartObj>
    </w:sdtPr>
    <w:sdtEndPr/>
    <w:sdtContent>
      <w:sdt>
        <w:sdtPr>
          <w:id w:val="-1705238520"/>
          <w:docPartObj>
            <w:docPartGallery w:val="Page Numbers (Top of Page)"/>
            <w:docPartUnique/>
          </w:docPartObj>
        </w:sdtPr>
        <w:sdtEndPr/>
        <w:sdtContent>
          <w:p w14:paraId="6745D53B" w14:textId="7483FFFF" w:rsidR="00C74546" w:rsidRPr="00E232EB" w:rsidRDefault="00B3753C" w:rsidP="00B3753C">
            <w:pPr>
              <w:pStyle w:val="Pieddepage"/>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D514" w14:textId="77777777" w:rsidR="00702E56" w:rsidRPr="00702E56" w:rsidRDefault="00371E6E" w:rsidP="00DB0FA2">
    <w:pPr>
      <w:pStyle w:val="Pieddepage"/>
      <w:rPr>
        <w:noProof/>
      </w:rPr>
    </w:pPr>
    <w:r>
      <w:rPr>
        <w:noProof/>
        <w:lang w:eastAsia="fr-BE"/>
      </w:rPr>
      <mc:AlternateContent>
        <mc:Choice Requires="wps">
          <w:drawing>
            <wp:anchor distT="0" distB="0" distL="114300" distR="114300" simplePos="0" relativeHeight="251667456" behindDoc="0" locked="0" layoutInCell="1" allowOverlap="1" wp14:anchorId="237B2676" wp14:editId="467F3B48">
              <wp:simplePos x="0" y="0"/>
              <wp:positionH relativeFrom="column">
                <wp:posOffset>2520315</wp:posOffset>
              </wp:positionH>
              <wp:positionV relativeFrom="paragraph">
                <wp:posOffset>0</wp:posOffset>
              </wp:positionV>
              <wp:extent cx="360000"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360000" cy="0"/>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067CA8"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45pt,0" to="22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" strokecolor="red" strokeweight="1pt">
              <v:stroke joinstyle="miter"/>
            </v:line>
          </w:pict>
        </mc:Fallback>
      </mc:AlternateContent>
    </w:r>
    <w:r w:rsidR="00702E56" w:rsidRPr="00702E56">
      <w:fldChar w:fldCharType="begin"/>
    </w:r>
    <w:r w:rsidR="00702E56" w:rsidRPr="00702E56">
      <w:instrText xml:space="preserve"> PAGE   \* MERGEFORMAT </w:instrText>
    </w:r>
    <w:r w:rsidR="00702E56" w:rsidRPr="00702E56">
      <w:fldChar w:fldCharType="separate"/>
    </w:r>
    <w:r w:rsidR="00515FDD">
      <w:rPr>
        <w:noProof/>
      </w:rPr>
      <w:t>3</w:t>
    </w:r>
    <w:r w:rsidR="00702E56" w:rsidRPr="00702E56">
      <w:rPr>
        <w:noProof/>
      </w:rPr>
      <w:fldChar w:fldCharType="end"/>
    </w:r>
  </w:p>
  <w:p w14:paraId="756A2652" w14:textId="77777777" w:rsidR="00C74546" w:rsidRDefault="00C74546" w:rsidP="00DB0FA2"/>
  <w:p w14:paraId="044D11A0" w14:textId="77777777" w:rsidR="005C4E6E" w:rsidRDefault="005C4E6E" w:rsidP="00DB0FA2"/>
  <w:p w14:paraId="1BA9E817" w14:textId="77777777" w:rsidR="005C4E6E" w:rsidRDefault="005C4E6E" w:rsidP="00DB0F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8C406" w14:textId="77777777" w:rsidR="00D536C2" w:rsidRPr="008E31A2" w:rsidRDefault="00D536C2" w:rsidP="00DB0FA2">
      <w:r w:rsidRPr="008E31A2">
        <w:separator/>
      </w:r>
    </w:p>
  </w:footnote>
  <w:footnote w:type="continuationSeparator" w:id="0">
    <w:p w14:paraId="102142E3" w14:textId="77777777" w:rsidR="00D536C2" w:rsidRPr="008E31A2" w:rsidRDefault="00D536C2" w:rsidP="00DB0FA2">
      <w:r w:rsidRPr="008E31A2">
        <w:continuationSeparator/>
      </w:r>
    </w:p>
    <w:p w14:paraId="670FA640" w14:textId="77777777" w:rsidR="00D536C2" w:rsidRDefault="00D536C2" w:rsidP="00DB0FA2"/>
    <w:p w14:paraId="5E69D065" w14:textId="77777777" w:rsidR="00D536C2" w:rsidRDefault="00D536C2" w:rsidP="00DB0FA2"/>
    <w:p w14:paraId="1C6CA928" w14:textId="77777777" w:rsidR="00D536C2" w:rsidRDefault="00D536C2" w:rsidP="00DB0FA2"/>
  </w:footnote>
  <w:footnote w:type="continuationNotice" w:id="1">
    <w:p w14:paraId="59594DE3" w14:textId="77777777" w:rsidR="00D536C2" w:rsidRDefault="00D536C2" w:rsidP="00DB0FA2"/>
    <w:p w14:paraId="520DE7B6" w14:textId="77777777" w:rsidR="00D536C2" w:rsidRDefault="00D536C2" w:rsidP="00DB0FA2"/>
    <w:p w14:paraId="7A7F20AF" w14:textId="77777777" w:rsidR="00D536C2" w:rsidRDefault="00D536C2" w:rsidP="00DB0FA2"/>
    <w:p w14:paraId="7A15C52B" w14:textId="77777777" w:rsidR="00D536C2" w:rsidRDefault="00D536C2" w:rsidP="00DB0F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87002" w14:textId="77777777" w:rsidR="00D536C2" w:rsidRDefault="00D536C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0668A" w14:textId="3B7ACAFE" w:rsidR="002E7428" w:rsidRDefault="002E7428" w:rsidP="00515FDD">
    <w:pPr>
      <w:pStyle w:val="En-tte"/>
      <w:tabs>
        <w:tab w:val="clear" w:pos="4680"/>
        <w:tab w:val="clear" w:pos="9360"/>
      </w:tabs>
      <w:ind w:right="-1135"/>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99160" w14:textId="77777777" w:rsidR="00D536C2" w:rsidRDefault="00D536C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visibility:visible;mso-wrap-style:square" o:bullet="t">
        <v:imagedata r:id="rId1" o:title=""/>
      </v:shape>
    </w:pict>
  </w:numPicBullet>
  <w:numPicBullet w:numPicBulletId="1">
    <w:pict>
      <v:shape id="_x0000_i1027" type="#_x0000_t75" style="width:28.8pt;height:14.4pt;visibility:visible;mso-wrap-style:square" o:bullet="t">
        <v:imagedata r:id="rId2" o:title=""/>
      </v:shape>
    </w:pict>
  </w:numPicBullet>
  <w:numPicBullet w:numPicBulletId="2">
    <w:pict>
      <v:shape id="_x0000_i1028" type="#_x0000_t75" style="width:28.8pt;height:21.6pt;visibility:visible;mso-wrap-style:square" o:bullet="t">
        <v:imagedata r:id="rId3" o:title=""/>
      </v:shape>
    </w:pict>
  </w:numPicBullet>
  <w:abstractNum w:abstractNumId="0" w15:restartNumberingAfterBreak="0">
    <w:nsid w:val="FFFFFF7C"/>
    <w:multiLevelType w:val="singleLevel"/>
    <w:tmpl w:val="BD38A3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960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2C4F0A"/>
    <w:lvl w:ilvl="0">
      <w:start w:val="1"/>
      <w:numFmt w:val="decimal"/>
      <w:pStyle w:val="Listenumros3"/>
      <w:lvlText w:val="%1."/>
      <w:lvlJc w:val="left"/>
      <w:pPr>
        <w:tabs>
          <w:tab w:val="num" w:pos="926"/>
        </w:tabs>
        <w:ind w:left="926" w:hanging="360"/>
      </w:pPr>
    </w:lvl>
  </w:abstractNum>
  <w:abstractNum w:abstractNumId="3" w15:restartNumberingAfterBreak="0">
    <w:nsid w:val="FFFFFF80"/>
    <w:multiLevelType w:val="singleLevel"/>
    <w:tmpl w:val="D63C72E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766676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2BC317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2D64C06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D88A728"/>
    <w:lvl w:ilvl="0">
      <w:start w:val="1"/>
      <w:numFmt w:val="decimal"/>
      <w:pStyle w:val="Listenumros"/>
      <w:lvlText w:val="%1."/>
      <w:lvlJc w:val="left"/>
      <w:pPr>
        <w:tabs>
          <w:tab w:val="num" w:pos="360"/>
        </w:tabs>
        <w:ind w:left="360" w:hanging="360"/>
      </w:pPr>
    </w:lvl>
  </w:abstractNum>
  <w:abstractNum w:abstractNumId="8" w15:restartNumberingAfterBreak="0">
    <w:nsid w:val="FFFFFF89"/>
    <w:multiLevelType w:val="singleLevel"/>
    <w:tmpl w:val="12243B0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DB43B1"/>
    <w:multiLevelType w:val="hybridMultilevel"/>
    <w:tmpl w:val="8FA06C88"/>
    <w:lvl w:ilvl="0" w:tplc="CFCC510A">
      <w:start w:val="5"/>
      <w:numFmt w:val="bullet"/>
      <w:lvlText w:val="-"/>
      <w:lvlJc w:val="left"/>
      <w:pPr>
        <w:ind w:left="720" w:hanging="360"/>
      </w:pPr>
      <w:rPr>
        <w:rFonts w:ascii="Segoe UI" w:eastAsia="Times New Roman" w:hAnsi="Segoe UI" w:cs="Segoe U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09790FBB"/>
    <w:multiLevelType w:val="hybridMultilevel"/>
    <w:tmpl w:val="44E8FF44"/>
    <w:lvl w:ilvl="0" w:tplc="CFCC510A">
      <w:start w:val="5"/>
      <w:numFmt w:val="bullet"/>
      <w:lvlText w:val="-"/>
      <w:lvlJc w:val="left"/>
      <w:pPr>
        <w:ind w:left="720" w:hanging="360"/>
      </w:pPr>
      <w:rPr>
        <w:rFonts w:ascii="Segoe UI" w:eastAsia="Times New Roman" w:hAnsi="Segoe UI"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C2920B8"/>
    <w:multiLevelType w:val="hybridMultilevel"/>
    <w:tmpl w:val="1116F8F8"/>
    <w:lvl w:ilvl="0" w:tplc="1C8A402A">
      <w:start w:val="7"/>
      <w:numFmt w:val="bullet"/>
      <w:lvlText w:val="-"/>
      <w:lvlJc w:val="left"/>
      <w:pPr>
        <w:ind w:left="720" w:hanging="360"/>
      </w:pPr>
      <w:rPr>
        <w:rFonts w:ascii="Calibri Light" w:eastAsia="Times New Roman" w:hAnsi="Calibri Light" w:cs="Calibri Light"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2A323E9"/>
    <w:multiLevelType w:val="hybridMultilevel"/>
    <w:tmpl w:val="BF54B376"/>
    <w:lvl w:ilvl="0" w:tplc="CFCC510A">
      <w:start w:val="5"/>
      <w:numFmt w:val="bullet"/>
      <w:lvlText w:val="-"/>
      <w:lvlJc w:val="left"/>
      <w:pPr>
        <w:ind w:left="720" w:hanging="360"/>
      </w:pPr>
      <w:rPr>
        <w:rFonts w:ascii="Segoe UI" w:eastAsia="Times New Roman" w:hAnsi="Segoe UI" w:cs="Segoe U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18C16131"/>
    <w:multiLevelType w:val="hybridMultilevel"/>
    <w:tmpl w:val="DDC8E40E"/>
    <w:lvl w:ilvl="0" w:tplc="96F0F8EE">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0706E"/>
    <w:multiLevelType w:val="hybridMultilevel"/>
    <w:tmpl w:val="0082DE26"/>
    <w:lvl w:ilvl="0" w:tplc="DA380E80">
      <w:start w:val="1"/>
      <w:numFmt w:val="bullet"/>
      <w:lvlText w:val=""/>
      <w:lvlPicBulletId w:val="2"/>
      <w:lvlJc w:val="left"/>
      <w:pPr>
        <w:tabs>
          <w:tab w:val="num" w:pos="720"/>
        </w:tabs>
        <w:ind w:left="720" w:hanging="360"/>
      </w:pPr>
      <w:rPr>
        <w:rFonts w:ascii="Symbol" w:hAnsi="Symbol" w:hint="default"/>
      </w:rPr>
    </w:lvl>
    <w:lvl w:ilvl="1" w:tplc="908813F4" w:tentative="1">
      <w:start w:val="1"/>
      <w:numFmt w:val="bullet"/>
      <w:lvlText w:val=""/>
      <w:lvlJc w:val="left"/>
      <w:pPr>
        <w:tabs>
          <w:tab w:val="num" w:pos="1440"/>
        </w:tabs>
        <w:ind w:left="1440" w:hanging="360"/>
      </w:pPr>
      <w:rPr>
        <w:rFonts w:ascii="Symbol" w:hAnsi="Symbol" w:hint="default"/>
      </w:rPr>
    </w:lvl>
    <w:lvl w:ilvl="2" w:tplc="FA0081B0" w:tentative="1">
      <w:start w:val="1"/>
      <w:numFmt w:val="bullet"/>
      <w:lvlText w:val=""/>
      <w:lvlJc w:val="left"/>
      <w:pPr>
        <w:tabs>
          <w:tab w:val="num" w:pos="2160"/>
        </w:tabs>
        <w:ind w:left="2160" w:hanging="360"/>
      </w:pPr>
      <w:rPr>
        <w:rFonts w:ascii="Symbol" w:hAnsi="Symbol" w:hint="default"/>
      </w:rPr>
    </w:lvl>
    <w:lvl w:ilvl="3" w:tplc="E14EF744" w:tentative="1">
      <w:start w:val="1"/>
      <w:numFmt w:val="bullet"/>
      <w:lvlText w:val=""/>
      <w:lvlJc w:val="left"/>
      <w:pPr>
        <w:tabs>
          <w:tab w:val="num" w:pos="2880"/>
        </w:tabs>
        <w:ind w:left="2880" w:hanging="360"/>
      </w:pPr>
      <w:rPr>
        <w:rFonts w:ascii="Symbol" w:hAnsi="Symbol" w:hint="default"/>
      </w:rPr>
    </w:lvl>
    <w:lvl w:ilvl="4" w:tplc="971C9D04" w:tentative="1">
      <w:start w:val="1"/>
      <w:numFmt w:val="bullet"/>
      <w:lvlText w:val=""/>
      <w:lvlJc w:val="left"/>
      <w:pPr>
        <w:tabs>
          <w:tab w:val="num" w:pos="3600"/>
        </w:tabs>
        <w:ind w:left="3600" w:hanging="360"/>
      </w:pPr>
      <w:rPr>
        <w:rFonts w:ascii="Symbol" w:hAnsi="Symbol" w:hint="default"/>
      </w:rPr>
    </w:lvl>
    <w:lvl w:ilvl="5" w:tplc="13FCF52E" w:tentative="1">
      <w:start w:val="1"/>
      <w:numFmt w:val="bullet"/>
      <w:lvlText w:val=""/>
      <w:lvlJc w:val="left"/>
      <w:pPr>
        <w:tabs>
          <w:tab w:val="num" w:pos="4320"/>
        </w:tabs>
        <w:ind w:left="4320" w:hanging="360"/>
      </w:pPr>
      <w:rPr>
        <w:rFonts w:ascii="Symbol" w:hAnsi="Symbol" w:hint="default"/>
      </w:rPr>
    </w:lvl>
    <w:lvl w:ilvl="6" w:tplc="98D23D76" w:tentative="1">
      <w:start w:val="1"/>
      <w:numFmt w:val="bullet"/>
      <w:lvlText w:val=""/>
      <w:lvlJc w:val="left"/>
      <w:pPr>
        <w:tabs>
          <w:tab w:val="num" w:pos="5040"/>
        </w:tabs>
        <w:ind w:left="5040" w:hanging="360"/>
      </w:pPr>
      <w:rPr>
        <w:rFonts w:ascii="Symbol" w:hAnsi="Symbol" w:hint="default"/>
      </w:rPr>
    </w:lvl>
    <w:lvl w:ilvl="7" w:tplc="51547D1A" w:tentative="1">
      <w:start w:val="1"/>
      <w:numFmt w:val="bullet"/>
      <w:lvlText w:val=""/>
      <w:lvlJc w:val="left"/>
      <w:pPr>
        <w:tabs>
          <w:tab w:val="num" w:pos="5760"/>
        </w:tabs>
        <w:ind w:left="5760" w:hanging="360"/>
      </w:pPr>
      <w:rPr>
        <w:rFonts w:ascii="Symbol" w:hAnsi="Symbol" w:hint="default"/>
      </w:rPr>
    </w:lvl>
    <w:lvl w:ilvl="8" w:tplc="DFB0F26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19872CF"/>
    <w:multiLevelType w:val="hybridMultilevel"/>
    <w:tmpl w:val="9410D53E"/>
    <w:lvl w:ilvl="0" w:tplc="04090001">
      <w:start w:val="1"/>
      <w:numFmt w:val="bullet"/>
      <w:lvlText w:val=""/>
      <w:lvlJc w:val="left"/>
      <w:pPr>
        <w:ind w:left="720" w:hanging="360"/>
      </w:pPr>
      <w:rPr>
        <w:rFonts w:ascii="Symbol" w:hAnsi="Symbol" w:hint="default"/>
      </w:rPr>
    </w:lvl>
    <w:lvl w:ilvl="1" w:tplc="5CA20D3E">
      <w:start w:val="1"/>
      <w:numFmt w:val="bullet"/>
      <w:pStyle w:val="Bullet2"/>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A1113"/>
    <w:multiLevelType w:val="hybridMultilevel"/>
    <w:tmpl w:val="59A45A96"/>
    <w:lvl w:ilvl="0" w:tplc="C41E5B10">
      <w:start w:val="1"/>
      <w:numFmt w:val="decimal"/>
      <w:pStyle w:val="Listenumro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B95954"/>
    <w:multiLevelType w:val="multilevel"/>
    <w:tmpl w:val="25CE9C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FB859A2"/>
    <w:multiLevelType w:val="multilevel"/>
    <w:tmpl w:val="720CB1F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DCF6FF8"/>
    <w:multiLevelType w:val="hybridMultilevel"/>
    <w:tmpl w:val="732C0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C38C106">
      <w:start w:val="1"/>
      <w:numFmt w:val="bullet"/>
      <w:pStyle w:val="Bullet3"/>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num>
  <w:num w:numId="4">
    <w:abstractNumId w:val="13"/>
  </w:num>
  <w:num w:numId="5">
    <w:abstractNumId w:val="15"/>
  </w:num>
  <w:num w:numId="6">
    <w:abstractNumId w:val="19"/>
  </w:num>
  <w:num w:numId="7">
    <w:abstractNumId w:val="7"/>
  </w:num>
  <w:num w:numId="8">
    <w:abstractNumId w:val="2"/>
  </w:num>
  <w:num w:numId="9">
    <w:abstractNumId w:val="16"/>
  </w:num>
  <w:num w:numId="10">
    <w:abstractNumId w:val="8"/>
  </w:num>
  <w:num w:numId="11">
    <w:abstractNumId w:val="6"/>
  </w:num>
  <w:num w:numId="12">
    <w:abstractNumId w:val="5"/>
  </w:num>
  <w:num w:numId="13">
    <w:abstractNumId w:val="4"/>
  </w:num>
  <w:num w:numId="14">
    <w:abstractNumId w:val="3"/>
  </w:num>
  <w:num w:numId="15">
    <w:abstractNumId w:val="1"/>
  </w:num>
  <w:num w:numId="16">
    <w:abstractNumId w:val="0"/>
  </w:num>
  <w:num w:numId="17">
    <w:abstractNumId w:val="14"/>
  </w:num>
  <w:num w:numId="18">
    <w:abstractNumId w:val="11"/>
  </w:num>
  <w:num w:numId="19">
    <w:abstractNumId w:val="10"/>
  </w:num>
  <w:num w:numId="20">
    <w:abstractNumId w:val="12"/>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C2"/>
    <w:rsid w:val="00004230"/>
    <w:rsid w:val="00017126"/>
    <w:rsid w:val="00066769"/>
    <w:rsid w:val="000713A8"/>
    <w:rsid w:val="000A2A18"/>
    <w:rsid w:val="000A4636"/>
    <w:rsid w:val="000B3A09"/>
    <w:rsid w:val="000E1359"/>
    <w:rsid w:val="000E5D37"/>
    <w:rsid w:val="00101A04"/>
    <w:rsid w:val="0011699C"/>
    <w:rsid w:val="00157AE4"/>
    <w:rsid w:val="00160186"/>
    <w:rsid w:val="0016501E"/>
    <w:rsid w:val="0017266F"/>
    <w:rsid w:val="00193610"/>
    <w:rsid w:val="001D581A"/>
    <w:rsid w:val="00216D1A"/>
    <w:rsid w:val="00242C7C"/>
    <w:rsid w:val="00284B49"/>
    <w:rsid w:val="002913DD"/>
    <w:rsid w:val="002C32FE"/>
    <w:rsid w:val="002E7428"/>
    <w:rsid w:val="002F7062"/>
    <w:rsid w:val="003560ED"/>
    <w:rsid w:val="00360B7C"/>
    <w:rsid w:val="00371E6E"/>
    <w:rsid w:val="00377799"/>
    <w:rsid w:val="00385DB4"/>
    <w:rsid w:val="003C09AD"/>
    <w:rsid w:val="003C4A27"/>
    <w:rsid w:val="003E1B6D"/>
    <w:rsid w:val="003E6966"/>
    <w:rsid w:val="00460794"/>
    <w:rsid w:val="004910E0"/>
    <w:rsid w:val="004A2661"/>
    <w:rsid w:val="004C1045"/>
    <w:rsid w:val="004C3CD8"/>
    <w:rsid w:val="004F2209"/>
    <w:rsid w:val="00510AC5"/>
    <w:rsid w:val="00515FDD"/>
    <w:rsid w:val="005328E7"/>
    <w:rsid w:val="0058595C"/>
    <w:rsid w:val="00596333"/>
    <w:rsid w:val="005A6571"/>
    <w:rsid w:val="005B2327"/>
    <w:rsid w:val="005C134C"/>
    <w:rsid w:val="005C4E6E"/>
    <w:rsid w:val="00603CE2"/>
    <w:rsid w:val="006164BC"/>
    <w:rsid w:val="006234D9"/>
    <w:rsid w:val="00627314"/>
    <w:rsid w:val="00674284"/>
    <w:rsid w:val="0069094F"/>
    <w:rsid w:val="006A796C"/>
    <w:rsid w:val="006B641C"/>
    <w:rsid w:val="006C2467"/>
    <w:rsid w:val="00702E56"/>
    <w:rsid w:val="00746D0C"/>
    <w:rsid w:val="00763884"/>
    <w:rsid w:val="00792D95"/>
    <w:rsid w:val="007B1BB4"/>
    <w:rsid w:val="007C7790"/>
    <w:rsid w:val="00814391"/>
    <w:rsid w:val="00814BE3"/>
    <w:rsid w:val="008270A4"/>
    <w:rsid w:val="008322DD"/>
    <w:rsid w:val="00837C01"/>
    <w:rsid w:val="008673CE"/>
    <w:rsid w:val="00893E81"/>
    <w:rsid w:val="008A50C8"/>
    <w:rsid w:val="008B12A6"/>
    <w:rsid w:val="008E31A2"/>
    <w:rsid w:val="00916676"/>
    <w:rsid w:val="00937881"/>
    <w:rsid w:val="00972FE1"/>
    <w:rsid w:val="00975E1A"/>
    <w:rsid w:val="009E3607"/>
    <w:rsid w:val="00A377AE"/>
    <w:rsid w:val="00A609C2"/>
    <w:rsid w:val="00A67635"/>
    <w:rsid w:val="00A73759"/>
    <w:rsid w:val="00A94FF8"/>
    <w:rsid w:val="00AA7900"/>
    <w:rsid w:val="00AC1B53"/>
    <w:rsid w:val="00AD3D8D"/>
    <w:rsid w:val="00B00CAF"/>
    <w:rsid w:val="00B33EAD"/>
    <w:rsid w:val="00B33EB1"/>
    <w:rsid w:val="00B3753C"/>
    <w:rsid w:val="00B91291"/>
    <w:rsid w:val="00BA5590"/>
    <w:rsid w:val="00BC3ACF"/>
    <w:rsid w:val="00BC4F82"/>
    <w:rsid w:val="00BD1014"/>
    <w:rsid w:val="00C31095"/>
    <w:rsid w:val="00C40F93"/>
    <w:rsid w:val="00C4424D"/>
    <w:rsid w:val="00C6570D"/>
    <w:rsid w:val="00C74546"/>
    <w:rsid w:val="00CB5F8E"/>
    <w:rsid w:val="00CE6A87"/>
    <w:rsid w:val="00D06A68"/>
    <w:rsid w:val="00D410C3"/>
    <w:rsid w:val="00D536C2"/>
    <w:rsid w:val="00D827A0"/>
    <w:rsid w:val="00D864A0"/>
    <w:rsid w:val="00D86EF8"/>
    <w:rsid w:val="00DA5BAA"/>
    <w:rsid w:val="00DA7C1E"/>
    <w:rsid w:val="00DB0FA2"/>
    <w:rsid w:val="00DD3A50"/>
    <w:rsid w:val="00DE47AB"/>
    <w:rsid w:val="00E06F56"/>
    <w:rsid w:val="00E232EB"/>
    <w:rsid w:val="00E65E8C"/>
    <w:rsid w:val="00E71B3C"/>
    <w:rsid w:val="00EA0CE5"/>
    <w:rsid w:val="00EA1E4D"/>
    <w:rsid w:val="00EB21EF"/>
    <w:rsid w:val="00EB768C"/>
    <w:rsid w:val="00ED6A65"/>
    <w:rsid w:val="00F53181"/>
    <w:rsid w:val="00F63C36"/>
    <w:rsid w:val="00F82386"/>
    <w:rsid w:val="00F8274E"/>
    <w:rsid w:val="00F9492B"/>
    <w:rsid w:val="00FB31CC"/>
    <w:rsid w:val="00FD6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2DE01"/>
  <w15:chartTrackingRefBased/>
  <w15:docId w15:val="{D80C9415-0918-46F9-9817-DA8FDECD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11699C"/>
    <w:pPr>
      <w:spacing w:before="120" w:after="0" w:line="240" w:lineRule="auto"/>
      <w:jc w:val="both"/>
    </w:pPr>
    <w:rPr>
      <w:rFonts w:ascii="Lato" w:hAnsi="Lato"/>
      <w:sz w:val="20"/>
      <w:szCs w:val="20"/>
      <w:lang w:val="fr-BE"/>
    </w:rPr>
  </w:style>
  <w:style w:type="paragraph" w:styleId="Titre1">
    <w:name w:val="heading 1"/>
    <w:basedOn w:val="Normal"/>
    <w:next w:val="Normal"/>
    <w:link w:val="Titre1Car"/>
    <w:uiPriority w:val="9"/>
    <w:qFormat/>
    <w:rsid w:val="00DA5BAA"/>
    <w:pPr>
      <w:keepNext/>
      <w:keepLines/>
      <w:numPr>
        <w:numId w:val="3"/>
      </w:numPr>
      <w:spacing w:before="360" w:after="120"/>
      <w:ind w:left="431" w:hanging="431"/>
      <w:jc w:val="left"/>
      <w:outlineLvl w:val="0"/>
    </w:pPr>
    <w:rPr>
      <w:rFonts w:eastAsiaTheme="majorEastAsia" w:cstheme="majorBidi"/>
      <w:sz w:val="36"/>
      <w:szCs w:val="36"/>
    </w:rPr>
  </w:style>
  <w:style w:type="paragraph" w:styleId="Titre2">
    <w:name w:val="heading 2"/>
    <w:basedOn w:val="Titre1"/>
    <w:next w:val="Normal"/>
    <w:link w:val="Titre2Car"/>
    <w:uiPriority w:val="9"/>
    <w:unhideWhenUsed/>
    <w:qFormat/>
    <w:rsid w:val="00DA5BAA"/>
    <w:pPr>
      <w:numPr>
        <w:ilvl w:val="1"/>
      </w:numPr>
      <w:spacing w:before="240"/>
      <w:ind w:left="709" w:hanging="709"/>
      <w:outlineLvl w:val="1"/>
    </w:pPr>
    <w:rPr>
      <w:noProof/>
      <w:sz w:val="32"/>
      <w:szCs w:val="30"/>
    </w:rPr>
  </w:style>
  <w:style w:type="paragraph" w:styleId="Titre3">
    <w:name w:val="heading 3"/>
    <w:basedOn w:val="Titre1"/>
    <w:next w:val="Normal"/>
    <w:link w:val="Titre3Car"/>
    <w:uiPriority w:val="9"/>
    <w:unhideWhenUsed/>
    <w:qFormat/>
    <w:rsid w:val="00FB31CC"/>
    <w:pPr>
      <w:numPr>
        <w:ilvl w:val="2"/>
      </w:numPr>
      <w:spacing w:before="240"/>
      <w:ind w:left="851" w:hanging="851"/>
      <w:outlineLvl w:val="2"/>
    </w:pPr>
    <w:rPr>
      <w:noProof/>
      <w:sz w:val="28"/>
      <w:szCs w:val="24"/>
    </w:rPr>
  </w:style>
  <w:style w:type="paragraph" w:styleId="Titre4">
    <w:name w:val="heading 4"/>
    <w:basedOn w:val="Normal"/>
    <w:next w:val="Normal"/>
    <w:link w:val="Titre4Car"/>
    <w:uiPriority w:val="9"/>
    <w:unhideWhenUsed/>
    <w:rsid w:val="0069094F"/>
    <w:pPr>
      <w:keepNext/>
      <w:keepLines/>
      <w:spacing w:before="240" w:after="120"/>
      <w:jc w:val="left"/>
      <w:outlineLvl w:val="3"/>
    </w:pPr>
    <w:rPr>
      <w:rFonts w:eastAsiaTheme="majorEastAsia" w:cstheme="majorBidi"/>
      <w:iCs/>
      <w:sz w:val="24"/>
      <w:lang w:val="en-US"/>
    </w:rPr>
  </w:style>
  <w:style w:type="paragraph" w:styleId="Titre5">
    <w:name w:val="heading 5"/>
    <w:basedOn w:val="Normal"/>
    <w:next w:val="Normal"/>
    <w:link w:val="Titre5Car"/>
    <w:uiPriority w:val="9"/>
    <w:unhideWhenUsed/>
    <w:rsid w:val="00DA5BAA"/>
    <w:pPr>
      <w:keepNext/>
      <w:keepLines/>
      <w:spacing w:before="240" w:after="120"/>
      <w:jc w:val="left"/>
      <w:outlineLvl w:val="4"/>
    </w:pPr>
    <w:rPr>
      <w:rFonts w:eastAsiaTheme="majorEastAsia" w:cstheme="majorBidi"/>
      <w:noProof/>
      <w:sz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aphic-H1">
    <w:name w:val="Graphic - H1"/>
    <w:basedOn w:val="Normal"/>
    <w:next w:val="Normal"/>
    <w:rsid w:val="00C6570D"/>
    <w:pPr>
      <w:keepNext/>
      <w:tabs>
        <w:tab w:val="left" w:pos="1616"/>
      </w:tabs>
      <w:spacing w:before="360"/>
      <w:jc w:val="left"/>
    </w:pPr>
    <w:rPr>
      <w:noProof/>
      <w:sz w:val="22"/>
    </w:rPr>
  </w:style>
  <w:style w:type="paragraph" w:customStyle="1" w:styleId="Figure-H1">
    <w:name w:val="Figure - H1"/>
    <w:basedOn w:val="Graphic-H1"/>
    <w:rsid w:val="00004230"/>
    <w:pPr>
      <w:tabs>
        <w:tab w:val="clear" w:pos="1616"/>
        <w:tab w:val="left" w:pos="1191"/>
      </w:tabs>
    </w:pPr>
  </w:style>
  <w:style w:type="paragraph" w:customStyle="1" w:styleId="Graphic-H2">
    <w:name w:val="Graphic - H2"/>
    <w:basedOn w:val="Graphic-H1"/>
    <w:next w:val="Normal"/>
    <w:rsid w:val="005328E7"/>
    <w:pPr>
      <w:spacing w:before="60" w:after="60"/>
    </w:pPr>
    <w:rPr>
      <w:i/>
      <w:sz w:val="20"/>
    </w:rPr>
  </w:style>
  <w:style w:type="paragraph" w:customStyle="1" w:styleId="Figure-H2">
    <w:name w:val="Figure - H2"/>
    <w:basedOn w:val="Graphic-H2"/>
    <w:rsid w:val="00F9492B"/>
  </w:style>
  <w:style w:type="paragraph" w:styleId="En-tte">
    <w:name w:val="header"/>
    <w:link w:val="En-tteCar"/>
    <w:uiPriority w:val="99"/>
    <w:unhideWhenUsed/>
    <w:locked/>
    <w:rsid w:val="00DB0FA2"/>
    <w:pPr>
      <w:tabs>
        <w:tab w:val="center" w:pos="4680"/>
        <w:tab w:val="right" w:pos="9360"/>
      </w:tabs>
    </w:pPr>
    <w:rPr>
      <w:rFonts w:ascii="Lato" w:hAnsi="Lato"/>
      <w:sz w:val="18"/>
      <w:szCs w:val="18"/>
      <w:lang w:val="fr-BE"/>
    </w:rPr>
  </w:style>
  <w:style w:type="character" w:customStyle="1" w:styleId="En-tteCar">
    <w:name w:val="En-tête Car"/>
    <w:basedOn w:val="Policepardfaut"/>
    <w:link w:val="En-tte"/>
    <w:uiPriority w:val="99"/>
    <w:rsid w:val="00DB0FA2"/>
    <w:rPr>
      <w:rFonts w:ascii="Lato" w:hAnsi="Lato"/>
      <w:sz w:val="18"/>
      <w:szCs w:val="18"/>
      <w:lang w:val="fr-BE"/>
    </w:rPr>
  </w:style>
  <w:style w:type="character" w:customStyle="1" w:styleId="Titre1Car">
    <w:name w:val="Titre 1 Car"/>
    <w:basedOn w:val="Policepardfaut"/>
    <w:link w:val="Titre1"/>
    <w:uiPriority w:val="9"/>
    <w:rsid w:val="00DA5BAA"/>
    <w:rPr>
      <w:rFonts w:ascii="Lato" w:eastAsiaTheme="majorEastAsia" w:hAnsi="Lato" w:cstheme="majorBidi"/>
      <w:sz w:val="36"/>
      <w:szCs w:val="36"/>
    </w:rPr>
  </w:style>
  <w:style w:type="character" w:customStyle="1" w:styleId="Titre2Car">
    <w:name w:val="Titre 2 Car"/>
    <w:basedOn w:val="Policepardfaut"/>
    <w:link w:val="Titre2"/>
    <w:uiPriority w:val="9"/>
    <w:rsid w:val="00DA5BAA"/>
    <w:rPr>
      <w:rFonts w:ascii="Lato" w:eastAsiaTheme="majorEastAsia" w:hAnsi="Lato" w:cstheme="majorBidi"/>
      <w:noProof/>
      <w:sz w:val="32"/>
      <w:szCs w:val="30"/>
    </w:rPr>
  </w:style>
  <w:style w:type="character" w:customStyle="1" w:styleId="Titre3Car">
    <w:name w:val="Titre 3 Car"/>
    <w:basedOn w:val="Policepardfaut"/>
    <w:link w:val="Titre3"/>
    <w:uiPriority w:val="9"/>
    <w:rsid w:val="00FB31CC"/>
    <w:rPr>
      <w:rFonts w:ascii="Lato" w:eastAsiaTheme="majorEastAsia" w:hAnsi="Lato" w:cstheme="majorBidi"/>
      <w:noProof/>
      <w:sz w:val="28"/>
      <w:szCs w:val="24"/>
    </w:rPr>
  </w:style>
  <w:style w:type="character" w:customStyle="1" w:styleId="Titre4Car">
    <w:name w:val="Titre 4 Car"/>
    <w:basedOn w:val="Policepardfaut"/>
    <w:link w:val="Titre4"/>
    <w:uiPriority w:val="9"/>
    <w:rsid w:val="0069094F"/>
    <w:rPr>
      <w:rFonts w:ascii="Lato" w:eastAsiaTheme="majorEastAsia" w:hAnsi="Lato" w:cstheme="majorBidi"/>
      <w:iCs/>
      <w:sz w:val="24"/>
      <w:szCs w:val="20"/>
    </w:rPr>
  </w:style>
  <w:style w:type="character" w:customStyle="1" w:styleId="Titre5Car">
    <w:name w:val="Titre 5 Car"/>
    <w:basedOn w:val="Policepardfaut"/>
    <w:link w:val="Titre5"/>
    <w:uiPriority w:val="9"/>
    <w:rsid w:val="00DA5BAA"/>
    <w:rPr>
      <w:rFonts w:ascii="Lato" w:eastAsiaTheme="majorEastAsia" w:hAnsi="Lato" w:cstheme="majorBidi"/>
      <w:noProof/>
      <w:szCs w:val="20"/>
    </w:rPr>
  </w:style>
  <w:style w:type="paragraph" w:customStyle="1" w:styleId="Bullet1">
    <w:name w:val="Bullet 1"/>
    <w:basedOn w:val="Normal"/>
    <w:qFormat/>
    <w:rsid w:val="00EB21EF"/>
    <w:pPr>
      <w:numPr>
        <w:numId w:val="4"/>
      </w:numPr>
      <w:spacing w:before="60"/>
      <w:ind w:left="284" w:hanging="284"/>
    </w:pPr>
    <w:rPr>
      <w:lang w:val="fr-FR"/>
    </w:rPr>
  </w:style>
  <w:style w:type="paragraph" w:customStyle="1" w:styleId="Bullet2">
    <w:name w:val="Bullet 2"/>
    <w:basedOn w:val="Bullet1"/>
    <w:qFormat/>
    <w:rsid w:val="00B33EAD"/>
    <w:pPr>
      <w:numPr>
        <w:ilvl w:val="1"/>
        <w:numId w:val="5"/>
      </w:numPr>
      <w:ind w:left="567" w:hanging="283"/>
    </w:pPr>
  </w:style>
  <w:style w:type="paragraph" w:customStyle="1" w:styleId="Bullet3">
    <w:name w:val="Bullet 3"/>
    <w:basedOn w:val="Bullet2"/>
    <w:rsid w:val="00B33EAD"/>
    <w:pPr>
      <w:numPr>
        <w:ilvl w:val="2"/>
        <w:numId w:val="6"/>
      </w:numPr>
      <w:ind w:left="851" w:hanging="284"/>
    </w:pPr>
  </w:style>
  <w:style w:type="paragraph" w:customStyle="1" w:styleId="Indent1">
    <w:name w:val="Indent 1"/>
    <w:basedOn w:val="Normal"/>
    <w:qFormat/>
    <w:rsid w:val="00B33EAD"/>
    <w:pPr>
      <w:spacing w:before="60"/>
      <w:ind w:left="284"/>
    </w:pPr>
  </w:style>
  <w:style w:type="paragraph" w:customStyle="1" w:styleId="Indent2">
    <w:name w:val="Indent 2"/>
    <w:basedOn w:val="Indent1"/>
    <w:qFormat/>
    <w:rsid w:val="00F9492B"/>
    <w:pPr>
      <w:ind w:left="567"/>
    </w:pPr>
  </w:style>
  <w:style w:type="paragraph" w:customStyle="1" w:styleId="Indent3">
    <w:name w:val="Indent 3"/>
    <w:basedOn w:val="Indent2"/>
    <w:rsid w:val="00F9492B"/>
    <w:pPr>
      <w:ind w:left="851"/>
    </w:pPr>
  </w:style>
  <w:style w:type="paragraph" w:customStyle="1" w:styleId="Source">
    <w:name w:val="Source"/>
    <w:basedOn w:val="Normal"/>
    <w:rsid w:val="00004230"/>
    <w:pPr>
      <w:spacing w:before="60" w:after="240"/>
      <w:jc w:val="left"/>
    </w:pPr>
    <w:rPr>
      <w:sz w:val="18"/>
    </w:rPr>
  </w:style>
  <w:style w:type="paragraph" w:customStyle="1" w:styleId="Table">
    <w:name w:val="Table"/>
    <w:basedOn w:val="Normal"/>
    <w:rsid w:val="00B00CAF"/>
    <w:pPr>
      <w:spacing w:before="0"/>
      <w:jc w:val="left"/>
    </w:pPr>
    <w:rPr>
      <w:sz w:val="18"/>
    </w:rPr>
  </w:style>
  <w:style w:type="paragraph" w:styleId="TM1">
    <w:name w:val="toc 1"/>
    <w:basedOn w:val="Normal"/>
    <w:next w:val="Normal"/>
    <w:autoRedefine/>
    <w:uiPriority w:val="39"/>
    <w:unhideWhenUsed/>
    <w:locked/>
    <w:rsid w:val="004C3CD8"/>
    <w:pPr>
      <w:tabs>
        <w:tab w:val="left" w:pos="426"/>
        <w:tab w:val="right" w:leader="dot" w:pos="8494"/>
      </w:tabs>
      <w:spacing w:after="100"/>
      <w:ind w:left="426" w:hanging="426"/>
    </w:pPr>
    <w:rPr>
      <w:noProof/>
    </w:rPr>
  </w:style>
  <w:style w:type="paragraph" w:styleId="TM2">
    <w:name w:val="toc 2"/>
    <w:basedOn w:val="Normal"/>
    <w:next w:val="Normal"/>
    <w:autoRedefine/>
    <w:uiPriority w:val="39"/>
    <w:unhideWhenUsed/>
    <w:locked/>
    <w:rsid w:val="003C09AD"/>
    <w:pPr>
      <w:tabs>
        <w:tab w:val="left" w:pos="993"/>
        <w:tab w:val="right" w:leader="dot" w:pos="8494"/>
      </w:tabs>
      <w:spacing w:after="100"/>
      <w:ind w:left="993" w:hanging="567"/>
    </w:pPr>
  </w:style>
  <w:style w:type="paragraph" w:styleId="TM3">
    <w:name w:val="toc 3"/>
    <w:basedOn w:val="Normal"/>
    <w:next w:val="Normal"/>
    <w:autoRedefine/>
    <w:uiPriority w:val="39"/>
    <w:unhideWhenUsed/>
    <w:locked/>
    <w:rsid w:val="003C09AD"/>
    <w:pPr>
      <w:tabs>
        <w:tab w:val="left" w:pos="1701"/>
        <w:tab w:val="right" w:leader="dot" w:pos="8494"/>
      </w:tabs>
      <w:spacing w:after="100"/>
      <w:ind w:left="1701" w:hanging="708"/>
    </w:pPr>
  </w:style>
  <w:style w:type="paragraph" w:styleId="Pieddepage">
    <w:name w:val="footer"/>
    <w:basedOn w:val="Normal"/>
    <w:link w:val="PieddepageCar"/>
    <w:uiPriority w:val="99"/>
    <w:unhideWhenUsed/>
    <w:locked/>
    <w:rsid w:val="00F9492B"/>
    <w:pPr>
      <w:tabs>
        <w:tab w:val="center" w:pos="4680"/>
        <w:tab w:val="right" w:pos="9360"/>
      </w:tabs>
      <w:jc w:val="center"/>
    </w:pPr>
  </w:style>
  <w:style w:type="character" w:customStyle="1" w:styleId="PieddepageCar">
    <w:name w:val="Pied de page Car"/>
    <w:basedOn w:val="Policepardfaut"/>
    <w:link w:val="Pieddepage"/>
    <w:uiPriority w:val="99"/>
    <w:rsid w:val="00F9492B"/>
    <w:rPr>
      <w:rFonts w:ascii="Lato" w:hAnsi="Lato"/>
      <w:sz w:val="18"/>
      <w:szCs w:val="18"/>
      <w:lang w:val="fr-BE"/>
    </w:rPr>
  </w:style>
  <w:style w:type="table" w:styleId="Grilledutableau">
    <w:name w:val="Table Grid"/>
    <w:basedOn w:val="TableauNormal"/>
    <w:uiPriority w:val="39"/>
    <w:locked/>
    <w:rsid w:val="00F9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locked/>
    <w:rsid w:val="003C09AD"/>
    <w:pPr>
      <w:numPr>
        <w:numId w:val="0"/>
      </w:numPr>
      <w:spacing w:before="240" w:after="0" w:line="259" w:lineRule="auto"/>
      <w:outlineLvl w:val="9"/>
    </w:pPr>
    <w:rPr>
      <w:sz w:val="24"/>
      <w:szCs w:val="24"/>
      <w:lang w:val="en-US"/>
    </w:rPr>
  </w:style>
  <w:style w:type="character" w:styleId="Lienhypertexte">
    <w:name w:val="Hyperlink"/>
    <w:basedOn w:val="Policepardfaut"/>
    <w:uiPriority w:val="99"/>
    <w:unhideWhenUsed/>
    <w:locked/>
    <w:rsid w:val="003C09AD"/>
    <w:rPr>
      <w:color w:val="0563C1" w:themeColor="hyperlink"/>
      <w:u w:val="single"/>
    </w:rPr>
  </w:style>
  <w:style w:type="paragraph" w:styleId="Notedebasdepage">
    <w:name w:val="footnote text"/>
    <w:basedOn w:val="Normal"/>
    <w:link w:val="NotedebasdepageCar"/>
    <w:uiPriority w:val="99"/>
    <w:qFormat/>
    <w:locked/>
    <w:rsid w:val="00D864A0"/>
    <w:pPr>
      <w:spacing w:before="0" w:after="60"/>
    </w:pPr>
    <w:rPr>
      <w:sz w:val="18"/>
    </w:rPr>
  </w:style>
  <w:style w:type="paragraph" w:styleId="Tabledesillustrations">
    <w:name w:val="table of figures"/>
    <w:basedOn w:val="Normal"/>
    <w:next w:val="Normal"/>
    <w:uiPriority w:val="99"/>
    <w:unhideWhenUsed/>
    <w:rsid w:val="00893E81"/>
  </w:style>
  <w:style w:type="character" w:customStyle="1" w:styleId="NotedebasdepageCar">
    <w:name w:val="Note de bas de page Car"/>
    <w:basedOn w:val="Policepardfaut"/>
    <w:link w:val="Notedebasdepage"/>
    <w:uiPriority w:val="99"/>
    <w:rsid w:val="00D864A0"/>
    <w:rPr>
      <w:rFonts w:ascii="Lato" w:hAnsi="Lato"/>
      <w:sz w:val="18"/>
      <w:szCs w:val="20"/>
      <w:lang w:val="nl-BE"/>
    </w:rPr>
  </w:style>
  <w:style w:type="character" w:styleId="Appelnotedebasdep">
    <w:name w:val="footnote reference"/>
    <w:basedOn w:val="Policepardfaut"/>
    <w:uiPriority w:val="99"/>
    <w:semiHidden/>
    <w:unhideWhenUsed/>
    <w:locked/>
    <w:rsid w:val="004C3CD8"/>
    <w:rPr>
      <w:vertAlign w:val="superscript"/>
    </w:rPr>
  </w:style>
  <w:style w:type="paragraph" w:customStyle="1" w:styleId="NoParagraphStyle">
    <w:name w:val="[No Paragraph Style]"/>
    <w:basedOn w:val="Normal"/>
    <w:locked/>
    <w:rsid w:val="00DB0FA2"/>
    <w:pPr>
      <w:autoSpaceDE w:val="0"/>
      <w:autoSpaceDN w:val="0"/>
      <w:adjustRightInd w:val="0"/>
      <w:spacing w:before="0" w:line="288" w:lineRule="auto"/>
      <w:textAlignment w:val="center"/>
    </w:pPr>
    <w:rPr>
      <w:rFonts w:ascii="Lato Light" w:hAnsi="Lato Light" w:cs="DINPro-Regular"/>
      <w:color w:val="000000"/>
      <w:spacing w:val="-4"/>
      <w:szCs w:val="22"/>
      <w:lang w:val="fr-FR"/>
    </w:rPr>
  </w:style>
  <w:style w:type="paragraph" w:customStyle="1" w:styleId="txt">
    <w:name w:val="txt"/>
    <w:basedOn w:val="NoParagraphStyle"/>
    <w:uiPriority w:val="99"/>
    <w:semiHidden/>
    <w:locked/>
    <w:rsid w:val="00BD1014"/>
    <w:pPr>
      <w:spacing w:before="57" w:after="170"/>
    </w:pPr>
    <w:rPr>
      <w:sz w:val="18"/>
    </w:rPr>
  </w:style>
  <w:style w:type="character" w:styleId="Lienhypertextesuivivisit">
    <w:name w:val="FollowedHyperlink"/>
    <w:basedOn w:val="Policepardfaut"/>
    <w:uiPriority w:val="99"/>
    <w:semiHidden/>
    <w:unhideWhenUsed/>
    <w:locked/>
    <w:rsid w:val="00DA7C1E"/>
    <w:rPr>
      <w:color w:val="954F72" w:themeColor="followedHyperlink"/>
      <w:u w:val="single"/>
    </w:rPr>
  </w:style>
  <w:style w:type="paragraph" w:customStyle="1" w:styleId="Title-1-brochure">
    <w:name w:val="Title-1-brochure"/>
    <w:rsid w:val="00DA5BAA"/>
    <w:pPr>
      <w:spacing w:line="240" w:lineRule="auto"/>
      <w:jc w:val="center"/>
    </w:pPr>
    <w:rPr>
      <w:rFonts w:ascii="Lato" w:hAnsi="Lato"/>
      <w:sz w:val="36"/>
      <w:szCs w:val="36"/>
      <w:lang w:val="nl-BE"/>
    </w:rPr>
  </w:style>
  <w:style w:type="paragraph" w:customStyle="1" w:styleId="Title-2-brochure">
    <w:name w:val="Title-2-brochure"/>
    <w:basedOn w:val="Title-1-brochure"/>
    <w:rsid w:val="00DA5BAA"/>
    <w:rPr>
      <w:rFonts w:ascii="Lato Light" w:hAnsi="Lato Light"/>
      <w:sz w:val="32"/>
      <w:szCs w:val="32"/>
    </w:rPr>
  </w:style>
  <w:style w:type="paragraph" w:styleId="Listenumros">
    <w:name w:val="List Number"/>
    <w:basedOn w:val="Normal"/>
    <w:locked/>
    <w:rsid w:val="00B33EAD"/>
    <w:pPr>
      <w:numPr>
        <w:numId w:val="7"/>
      </w:numPr>
      <w:tabs>
        <w:tab w:val="clear" w:pos="360"/>
        <w:tab w:val="num" w:pos="284"/>
      </w:tabs>
      <w:spacing w:before="60"/>
      <w:ind w:left="284" w:hanging="284"/>
    </w:pPr>
    <w:rPr>
      <w:rFonts w:eastAsia="Times New Roman" w:cs="Times New Roman"/>
      <w:szCs w:val="18"/>
    </w:rPr>
  </w:style>
  <w:style w:type="paragraph" w:styleId="Listenumros2">
    <w:name w:val="List Number 2"/>
    <w:basedOn w:val="Listenumros"/>
    <w:locked/>
    <w:rsid w:val="00814BE3"/>
    <w:pPr>
      <w:numPr>
        <w:numId w:val="9"/>
      </w:numPr>
      <w:tabs>
        <w:tab w:val="left" w:pos="567"/>
      </w:tabs>
      <w:ind w:left="567" w:hanging="283"/>
    </w:pPr>
  </w:style>
  <w:style w:type="paragraph" w:styleId="Listenumros3">
    <w:name w:val="List Number 3"/>
    <w:basedOn w:val="Listenumros2"/>
    <w:locked/>
    <w:rsid w:val="00B33EAD"/>
    <w:pPr>
      <w:numPr>
        <w:numId w:val="8"/>
      </w:numPr>
      <w:tabs>
        <w:tab w:val="clear" w:pos="926"/>
        <w:tab w:val="num" w:pos="851"/>
      </w:tabs>
      <w:ind w:left="851" w:hanging="285"/>
    </w:pPr>
  </w:style>
  <w:style w:type="paragraph" w:customStyle="1" w:styleId="Table-H1">
    <w:name w:val="Table - H1"/>
    <w:basedOn w:val="Graphic-H1"/>
    <w:qFormat/>
    <w:rsid w:val="00004230"/>
    <w:pPr>
      <w:tabs>
        <w:tab w:val="clear" w:pos="1616"/>
        <w:tab w:val="left" w:pos="1361"/>
      </w:tabs>
    </w:pPr>
  </w:style>
  <w:style w:type="paragraph" w:customStyle="1" w:styleId="Table-H2">
    <w:name w:val="Table - H2"/>
    <w:basedOn w:val="Graphic-H2"/>
    <w:qFormat/>
    <w:rsid w:val="005328E7"/>
  </w:style>
  <w:style w:type="table" w:styleId="Grilledetableauclaire">
    <w:name w:val="Grid Table Light"/>
    <w:basedOn w:val="TableauNormal"/>
    <w:uiPriority w:val="40"/>
    <w:locked/>
    <w:rsid w:val="00BC3A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PF">
    <w:name w:val="SPF"/>
    <w:basedOn w:val="TableauNormal"/>
    <w:uiPriority w:val="99"/>
    <w:rsid w:val="00BC3ACF"/>
    <w:pPr>
      <w:spacing w:after="0" w:line="240" w:lineRule="auto"/>
    </w:pPr>
    <w:rPr>
      <w:rFonts w:ascii="Lato" w:hAnsi="Lato"/>
      <w:sz w:val="20"/>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style>
  <w:style w:type="paragraph" w:styleId="Paragraphedeliste">
    <w:name w:val="List Paragraph"/>
    <w:basedOn w:val="Normal"/>
    <w:uiPriority w:val="34"/>
    <w:qFormat/>
    <w:rsid w:val="0011699C"/>
    <w:pPr>
      <w:spacing w:before="0" w:after="160" w:line="259" w:lineRule="auto"/>
      <w:ind w:left="720"/>
      <w:contextualSpacing/>
      <w:jc w:val="left"/>
    </w:pPr>
    <w:rPr>
      <w:rFonts w:asciiTheme="minorHAnsi" w:eastAsiaTheme="minorEastAsia" w:hAnsiTheme="minorHAnsi"/>
      <w:sz w:val="22"/>
      <w:szCs w:val="22"/>
      <w:lang w:val="nl-BE" w:eastAsia="zh-CN"/>
    </w:rPr>
  </w:style>
  <w:style w:type="character" w:styleId="Marquedecommentaire">
    <w:name w:val="annotation reference"/>
    <w:basedOn w:val="Policepardfaut"/>
    <w:uiPriority w:val="99"/>
    <w:semiHidden/>
    <w:unhideWhenUsed/>
    <w:locked/>
    <w:rsid w:val="004F2209"/>
    <w:rPr>
      <w:sz w:val="16"/>
      <w:szCs w:val="16"/>
    </w:rPr>
  </w:style>
  <w:style w:type="paragraph" w:styleId="Commentaire">
    <w:name w:val="annotation text"/>
    <w:basedOn w:val="Normal"/>
    <w:link w:val="CommentaireCar"/>
    <w:uiPriority w:val="99"/>
    <w:semiHidden/>
    <w:unhideWhenUsed/>
    <w:locked/>
    <w:rsid w:val="004F2209"/>
  </w:style>
  <w:style w:type="character" w:customStyle="1" w:styleId="CommentaireCar">
    <w:name w:val="Commentaire Car"/>
    <w:basedOn w:val="Policepardfaut"/>
    <w:link w:val="Commentaire"/>
    <w:uiPriority w:val="99"/>
    <w:semiHidden/>
    <w:rsid w:val="004F2209"/>
    <w:rPr>
      <w:rFonts w:ascii="Lato" w:hAnsi="Lato"/>
      <w:sz w:val="20"/>
      <w:szCs w:val="20"/>
      <w:lang w:val="fr-BE"/>
    </w:rPr>
  </w:style>
  <w:style w:type="paragraph" w:styleId="Objetducommentaire">
    <w:name w:val="annotation subject"/>
    <w:basedOn w:val="Commentaire"/>
    <w:next w:val="Commentaire"/>
    <w:link w:val="ObjetducommentaireCar"/>
    <w:uiPriority w:val="99"/>
    <w:semiHidden/>
    <w:unhideWhenUsed/>
    <w:locked/>
    <w:rsid w:val="004F2209"/>
    <w:rPr>
      <w:b/>
      <w:bCs/>
    </w:rPr>
  </w:style>
  <w:style w:type="character" w:customStyle="1" w:styleId="ObjetducommentaireCar">
    <w:name w:val="Objet du commentaire Car"/>
    <w:basedOn w:val="CommentaireCar"/>
    <w:link w:val="Objetducommentaire"/>
    <w:uiPriority w:val="99"/>
    <w:semiHidden/>
    <w:rsid w:val="004F2209"/>
    <w:rPr>
      <w:rFonts w:ascii="Lato" w:hAnsi="Lato"/>
      <w:b/>
      <w:bCs/>
      <w:sz w:val="20"/>
      <w:szCs w:val="20"/>
      <w:lang w:val="fr-BE"/>
    </w:rPr>
  </w:style>
  <w:style w:type="character" w:styleId="Mentionnonrsolue">
    <w:name w:val="Unresolved Mention"/>
    <w:basedOn w:val="Policepardfaut"/>
    <w:uiPriority w:val="99"/>
    <w:semiHidden/>
    <w:unhideWhenUsed/>
    <w:rsid w:val="00814391"/>
    <w:rPr>
      <w:color w:val="605E5C"/>
      <w:shd w:val="clear" w:color="auto" w:fill="E1DFDD"/>
    </w:rPr>
  </w:style>
  <w:style w:type="paragraph" w:styleId="Rvision">
    <w:name w:val="Revision"/>
    <w:hidden/>
    <w:uiPriority w:val="99"/>
    <w:semiHidden/>
    <w:rsid w:val="00BC4F82"/>
    <w:pPr>
      <w:spacing w:after="0" w:line="240" w:lineRule="auto"/>
    </w:pPr>
    <w:rPr>
      <w:rFonts w:ascii="Lato" w:hAnsi="Lato"/>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regional_policy/en/information/logos_downloadcent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justice.just.fgov.be/eli/besluit/2022/04/21/2022031819/staatsbla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S4\0441-S4%20Creation\Cr&#233;ation%20-%20Creatie\_Mod&#232;les\Nieuwe%20huisstijl%20brochure-%20nouveau%20style%20maison%20brochure\brochure-A4-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ench_x005f_x0020_Variation xmlns="751bfe3d-1b75-491a-b76e-845b600778ad" xsi:nil="true"/>
    <English_x005f_x0020_Variation xmlns="751bfe3d-1b75-491a-b76e-845b600778ad" xsi:nil="true"/>
    <Dutch_x005f_x0020_Variation xmlns="751bfe3d-1b75-491a-b76e-845b600778ad" xsi:nil="true"/>
    <Item_x0020_Language xmlns="61fd27c5-79f4-4ba3-91b0-f449fa795636">Dutch</Item_x0020_Language>
  </documentManagement>
</p:properties>
</file>

<file path=customXml/item2.xml><?xml version="1.0" encoding="utf-8"?>
<ct:contentTypeSchema xmlns:ct="http://schemas.microsoft.com/office/2006/metadata/contentType" xmlns:ma="http://schemas.microsoft.com/office/2006/metadata/properties/metaAttributes" ct:_="" ma:_="" ma:contentTypeName="FODECO Document" ma:contentTypeID="0x010100D4BD6C48F73946A18560C013AA9EB747000A7168C91BFF4C43BF9F3753A06432D8" ma:contentTypeVersion="1" ma:contentTypeDescription="Crée un document." ma:contentTypeScope="" ma:versionID="b1ec6561db4a1a034ad2cb1c309d65d6">
  <xsd:schema xmlns:xsd="http://www.w3.org/2001/XMLSchema" xmlns:xs="http://www.w3.org/2001/XMLSchema" xmlns:p="http://schemas.microsoft.com/office/2006/metadata/properties" xmlns:ns2="61fd27c5-79f4-4ba3-91b0-f449fa795636" xmlns:ns3="751bfe3d-1b75-491a-b76e-845b600778ad" targetNamespace="http://schemas.microsoft.com/office/2006/metadata/properties" ma:root="true" ma:fieldsID="ca7a9b8c188659486b6758b1ff8adf0d" ns2:_="" ns3:_="">
    <xsd:import namespace="61fd27c5-79f4-4ba3-91b0-f449fa795636"/>
    <xsd:import namespace="751bfe3d-1b75-491a-b76e-845b600778ad"/>
    <xsd:element name="properties">
      <xsd:complexType>
        <xsd:sequence>
          <xsd:element name="documentManagement">
            <xsd:complexType>
              <xsd:all>
                <xsd:element ref="ns2:Item_x0020_Language"/>
                <xsd:element ref="ns3:Dutch_x005f_x0020_Variation" minOccurs="0"/>
                <xsd:element ref="ns3:English_x005f_x0020_Variation" minOccurs="0"/>
                <xsd:element ref="ns3:French_x005f_x0020_Vari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d27c5-79f4-4ba3-91b0-f449fa795636" elementFormDefault="qualified">
    <xsd:import namespace="http://schemas.microsoft.com/office/2006/documentManagement/types"/>
    <xsd:import namespace="http://schemas.microsoft.com/office/infopath/2007/PartnerControls"/>
    <xsd:element name="Item_x0020_Language" ma:index="8" ma:displayName="Item Language" ma:format="RadioButtons" ma:internalName="Item_x0020_Language">
      <xsd:simpleType>
        <xsd:restriction base="dms:Choice">
          <xsd:enumeration value="Dutch"/>
          <xsd:enumeration value="French"/>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751bfe3d-1b75-491a-b76e-845b600778ad" elementFormDefault="qualified">
    <xsd:import namespace="http://schemas.microsoft.com/office/2006/documentManagement/types"/>
    <xsd:import namespace="http://schemas.microsoft.com/office/infopath/2007/PartnerControls"/>
    <xsd:element name="Dutch_x005f_x0020_Variation" ma:index="9" nillable="true" ma:displayName="Dutch Variation" ma:list="Self" ma:internalName="Dutch_x0020_Variation" ma:showField="ID">
      <xsd:simpleType>
        <xsd:restriction base="dms:Lookup"/>
      </xsd:simpleType>
    </xsd:element>
    <xsd:element name="English_x005f_x0020_Variation" ma:index="10" nillable="true" ma:displayName="English Variation" ma:list="Self" ma:internalName="English_x0020_Variation" ma:showField="ID">
      <xsd:simpleType>
        <xsd:restriction base="dms:Lookup"/>
      </xsd:simpleType>
    </xsd:element>
    <xsd:element name="French_x005f_x0020_Variation" ma:index="11" nillable="true" ma:displayName="French Variation" ma:list="Self" ma:internalName="French_x0020_Variation"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8BBCB-D640-496D-85BE-431C173A0678}">
  <ds:schemaRefs>
    <ds:schemaRef ds:uri="http://schemas.microsoft.com/office/2006/metadata/properties"/>
    <ds:schemaRef ds:uri="http://schemas.microsoft.com/office/infopath/2007/PartnerControls"/>
    <ds:schemaRef ds:uri="751bfe3d-1b75-491a-b76e-845b600778ad"/>
    <ds:schemaRef ds:uri="61fd27c5-79f4-4ba3-91b0-f449fa795636"/>
  </ds:schemaRefs>
</ds:datastoreItem>
</file>

<file path=customXml/itemProps2.xml><?xml version="1.0" encoding="utf-8"?>
<ds:datastoreItem xmlns:ds="http://schemas.openxmlformats.org/officeDocument/2006/customXml" ds:itemID="{FB08AED7-C08D-4009-A29F-1B5431B18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d27c5-79f4-4ba3-91b0-f449fa795636"/>
    <ds:schemaRef ds:uri="751bfe3d-1b75-491a-b76e-845b60077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973BA-B8D7-4A64-A78D-3A72CCD39DC0}">
  <ds:schemaRefs>
    <ds:schemaRef ds:uri="http://schemas.openxmlformats.org/officeDocument/2006/bibliography"/>
  </ds:schemaRefs>
</ds:datastoreItem>
</file>

<file path=customXml/itemProps4.xml><?xml version="1.0" encoding="utf-8"?>
<ds:datastoreItem xmlns:ds="http://schemas.openxmlformats.org/officeDocument/2006/customXml" ds:itemID="{1DF828E4-BBFD-441D-AADF-587F7FA37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brochure-A4-N.dotx</Template>
  <TotalTime>1</TotalTime>
  <Pages>5</Pages>
  <Words>2385</Words>
  <Characters>13120</Characters>
  <Application>Microsoft Office Word</Application>
  <DocSecurity>0</DocSecurity>
  <Lines>109</Lines>
  <Paragraphs>30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FOD/SPF Economie</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GUIDON</dc:creator>
  <cp:keywords/>
  <dc:description>version 14.01.2020</dc:description>
  <cp:lastModifiedBy>Carine Poublon (FOD Economie - SPF Economie)</cp:lastModifiedBy>
  <cp:revision>2</cp:revision>
  <cp:lastPrinted>2019-09-13T14:13:00Z</cp:lastPrinted>
  <dcterms:created xsi:type="dcterms:W3CDTF">2022-06-01T06:05:00Z</dcterms:created>
  <dcterms:modified xsi:type="dcterms:W3CDTF">2022-06-01T06:05:00Z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0x010100D4BD6C48F73946A18560C013AA9EB747000A7168C91BFF4C43BF9F3753A06432D8</vt:lpwstr>
  </property>
</Properties>
</file>