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908" w:type="dxa"/>
        <w:tblLayout w:type="fixed"/>
        <w:tblLook w:val="0000" w:firstRow="0" w:lastRow="0" w:firstColumn="0" w:lastColumn="0" w:noHBand="0" w:noVBand="0"/>
      </w:tblPr>
      <w:tblGrid>
        <w:gridCol w:w="288"/>
        <w:gridCol w:w="9720"/>
        <w:gridCol w:w="900"/>
      </w:tblGrid>
      <w:tr w:rsidR="002F2525" w:rsidTr="00782E2D">
        <w:tblPrEx>
          <w:tblCellMar>
            <w:top w:w="0" w:type="dxa"/>
            <w:bottom w:w="0" w:type="dxa"/>
          </w:tblCellMar>
        </w:tblPrEx>
        <w:trPr>
          <w:trHeight w:val="13744"/>
        </w:trPr>
        <w:tc>
          <w:tcPr>
            <w:tcW w:w="288" w:type="dxa"/>
          </w:tcPr>
          <w:p w:rsidR="002F2525" w:rsidRDefault="002F2525">
            <w:pPr>
              <w:rPr>
                <w:rFonts w:cs="Arial"/>
              </w:rPr>
            </w:pPr>
            <w:bookmarkStart w:id="0" w:name="_GoBack"/>
            <w:bookmarkEnd w:id="0"/>
          </w:p>
          <w:p w:rsidR="002F2525" w:rsidRDefault="002F2525">
            <w:pPr>
              <w:rPr>
                <w:rFonts w:cs="Arial"/>
              </w:rPr>
            </w:pPr>
          </w:p>
          <w:p w:rsidR="002F2525" w:rsidRDefault="002F2525">
            <w:pPr>
              <w:rPr>
                <w:rFonts w:cs="Arial"/>
              </w:rPr>
            </w:pPr>
          </w:p>
          <w:p w:rsidR="002F2525" w:rsidRDefault="002F2525">
            <w:pPr>
              <w:rPr>
                <w:rFonts w:cs="Arial"/>
              </w:rPr>
            </w:pPr>
          </w:p>
          <w:p w:rsidR="002F2525" w:rsidRDefault="002F2525">
            <w:pPr>
              <w:rPr>
                <w:rFonts w:cs="Arial"/>
              </w:rPr>
            </w:pPr>
          </w:p>
          <w:p w:rsidR="002F2525" w:rsidRDefault="002F2525">
            <w:pPr>
              <w:rPr>
                <w:rFonts w:cs="Arial"/>
              </w:rPr>
            </w:pPr>
          </w:p>
          <w:p w:rsidR="002F2525" w:rsidRDefault="002F2525">
            <w:pPr>
              <w:rPr>
                <w:rFonts w:cs="Arial"/>
              </w:rPr>
            </w:pPr>
          </w:p>
        </w:tc>
        <w:tc>
          <w:tcPr>
            <w:tcW w:w="9720" w:type="dxa"/>
          </w:tcPr>
          <w:p w:rsidR="002F2525" w:rsidRDefault="005E4F0D">
            <w:pPr>
              <w:rPr>
                <w:rFonts w:cs="Arial"/>
                <w:lang w:val="nl-NL"/>
              </w:rPr>
            </w:pPr>
            <w:r>
              <w:rPr>
                <w:rFonts w:cs="Arial"/>
                <w:lang w:val="nl-NL"/>
              </w:rPr>
              <w:t>MODEL 6</w:t>
            </w:r>
            <w:r w:rsidR="002F2525">
              <w:rPr>
                <w:rFonts w:cs="Arial"/>
              </w:rPr>
              <w:tab/>
            </w:r>
            <w:r w:rsidR="002F2525">
              <w:rPr>
                <w:rFonts w:cs="Arial"/>
              </w:rPr>
              <w:tab/>
            </w:r>
          </w:p>
          <w:p w:rsidR="00085CBD" w:rsidRDefault="00085CBD">
            <w:pPr>
              <w:rPr>
                <w:rFonts w:cs="Arial"/>
                <w:lang w:val="nl-NL"/>
              </w:rPr>
            </w:pPr>
          </w:p>
          <w:p w:rsidR="002F2525" w:rsidRDefault="006E7AF7">
            <w:pPr>
              <w:rPr>
                <w:rFonts w:cs="Arial"/>
                <w:u w:val="single"/>
                <w:lang w:val="nl-NL"/>
              </w:rPr>
            </w:pPr>
            <w:r>
              <w:rPr>
                <w:rFonts w:cs="Arial"/>
                <w:u w:val="single"/>
                <w:lang w:val="nl-NL"/>
              </w:rPr>
              <w:t xml:space="preserve">Aanvraag tot </w:t>
            </w:r>
            <w:r w:rsidR="0062039B">
              <w:rPr>
                <w:rFonts w:cs="Arial"/>
                <w:u w:val="single"/>
                <w:lang w:val="nl-NL"/>
              </w:rPr>
              <w:t>erkenning financieringshuur</w:t>
            </w:r>
            <w:r w:rsidR="00384BFA">
              <w:rPr>
                <w:rFonts w:cs="Arial"/>
                <w:u w:val="single"/>
                <w:lang w:val="nl-NL"/>
              </w:rPr>
              <w:t xml:space="preserve"> - leasing </w:t>
            </w:r>
          </w:p>
          <w:p w:rsidR="002F2525" w:rsidRDefault="0062039B">
            <w:pPr>
              <w:rPr>
                <w:rFonts w:cs="Arial"/>
                <w:u w:val="single"/>
                <w:lang w:val="nl-NL"/>
              </w:rPr>
            </w:pPr>
            <w:r>
              <w:rPr>
                <w:rFonts w:cs="Arial"/>
                <w:u w:val="single"/>
                <w:lang w:val="nl-NL"/>
              </w:rPr>
              <w:t>KB 55 van 10/11/1967</w:t>
            </w:r>
            <w:r w:rsidR="003C00BD">
              <w:rPr>
                <w:rFonts w:cs="Arial"/>
                <w:u w:val="single"/>
                <w:lang w:val="nl-NL"/>
              </w:rPr>
              <w:t xml:space="preserve"> tot regeling van het juridisch statuut der ondernemingen gespecialiseerd in financieringshuur</w:t>
            </w:r>
            <w:r>
              <w:rPr>
                <w:rFonts w:cs="Arial"/>
                <w:u w:val="single"/>
                <w:lang w:val="nl-NL"/>
              </w:rPr>
              <w:t xml:space="preserve"> </w:t>
            </w:r>
          </w:p>
          <w:p w:rsidR="003C00BD" w:rsidRDefault="003C00BD">
            <w:pPr>
              <w:rPr>
                <w:rFonts w:cs="Arial"/>
                <w:lang w:val="nl-NL"/>
              </w:rPr>
            </w:pPr>
          </w:p>
          <w:p w:rsidR="002F2525" w:rsidRDefault="002F2525">
            <w:pPr>
              <w:rPr>
                <w:rFonts w:cs="Arial"/>
                <w:lang w:val="nl-NL"/>
              </w:rPr>
            </w:pPr>
            <w:r>
              <w:rPr>
                <w:rFonts w:cs="Arial"/>
                <w:lang w:val="nl-NL"/>
              </w:rPr>
              <w:t>1. in te vullen in drukletters en te ondertekenen door de bestuurder of bestuurders die de rechtsper</w:t>
            </w:r>
            <w:r>
              <w:rPr>
                <w:rFonts w:cs="Arial"/>
                <w:lang w:val="nl-NL"/>
              </w:rPr>
              <w:softHyphen/>
              <w:t>soon in rechte kunnen vertegenwoordigen.</w:t>
            </w:r>
          </w:p>
          <w:p w:rsidR="002F2525" w:rsidRDefault="002F2525">
            <w:pPr>
              <w:rPr>
                <w:rFonts w:cs="Arial"/>
                <w:lang w:val="nl-NL"/>
              </w:rPr>
            </w:pPr>
          </w:p>
          <w:p w:rsidR="002F2525" w:rsidRDefault="002F2525">
            <w:pPr>
              <w:rPr>
                <w:rFonts w:cs="Arial"/>
                <w:lang w:val="nl-NL"/>
              </w:rPr>
            </w:pPr>
            <w:r>
              <w:rPr>
                <w:rFonts w:cs="Arial"/>
                <w:lang w:val="nl-NL"/>
              </w:rPr>
              <w:t>2. over te maken aan de :</w:t>
            </w:r>
          </w:p>
          <w:p w:rsidR="002F2525" w:rsidRDefault="002F2525">
            <w:pPr>
              <w:rPr>
                <w:rFonts w:cs="Arial"/>
                <w:lang w:val="nl-NL"/>
              </w:rPr>
            </w:pPr>
            <w:r>
              <w:rPr>
                <w:rFonts w:cs="Arial"/>
                <w:lang w:val="nl-NL"/>
              </w:rPr>
              <w:t xml:space="preserve"> F.O.D. Economie, K.M.O., Middenstand &amp; Energie</w:t>
            </w:r>
          </w:p>
          <w:p w:rsidR="002F2525" w:rsidRDefault="002F2525">
            <w:pPr>
              <w:rPr>
                <w:rFonts w:cs="Arial"/>
                <w:lang w:val="nl-NL"/>
              </w:rPr>
            </w:pPr>
            <w:r>
              <w:rPr>
                <w:rFonts w:cs="Arial"/>
                <w:lang w:val="nl-NL"/>
              </w:rPr>
              <w:t xml:space="preserve"> </w:t>
            </w:r>
            <w:proofErr w:type="spellStart"/>
            <w:r w:rsidR="00772A95" w:rsidRPr="00772A95">
              <w:rPr>
                <w:rFonts w:cs="Arial"/>
                <w:lang w:val="en-US"/>
              </w:rPr>
              <w:t>Algemene</w:t>
            </w:r>
            <w:proofErr w:type="spellEnd"/>
            <w:r w:rsidR="00772A95" w:rsidRPr="00772A95">
              <w:rPr>
                <w:rFonts w:cs="Arial"/>
                <w:lang w:val="en-US"/>
              </w:rPr>
              <w:t xml:space="preserve"> </w:t>
            </w:r>
            <w:proofErr w:type="spellStart"/>
            <w:r w:rsidR="00772A95" w:rsidRPr="00772A95">
              <w:rPr>
                <w:rFonts w:cs="Arial"/>
                <w:lang w:val="en-US"/>
              </w:rPr>
              <w:t>Directie</w:t>
            </w:r>
            <w:proofErr w:type="spellEnd"/>
            <w:r w:rsidR="00772A95" w:rsidRPr="00772A95">
              <w:rPr>
                <w:rFonts w:cs="Arial"/>
                <w:lang w:val="en-US"/>
              </w:rPr>
              <w:t xml:space="preserve"> </w:t>
            </w:r>
            <w:proofErr w:type="spellStart"/>
            <w:r w:rsidR="00772A95" w:rsidRPr="00772A95">
              <w:rPr>
                <w:rFonts w:cs="Arial"/>
                <w:lang w:val="en-US"/>
              </w:rPr>
              <w:t>Economische</w:t>
            </w:r>
            <w:proofErr w:type="spellEnd"/>
            <w:r w:rsidR="00772A95" w:rsidRPr="00772A95">
              <w:rPr>
                <w:rFonts w:cs="Arial"/>
                <w:lang w:val="en-US"/>
              </w:rPr>
              <w:t xml:space="preserve"> </w:t>
            </w:r>
            <w:proofErr w:type="spellStart"/>
            <w:r w:rsidR="00772A95" w:rsidRPr="00772A95">
              <w:rPr>
                <w:rFonts w:cs="Arial"/>
                <w:lang w:val="en-US"/>
              </w:rPr>
              <w:t>Reglementering</w:t>
            </w:r>
            <w:proofErr w:type="spellEnd"/>
          </w:p>
          <w:p w:rsidR="002F2525" w:rsidRDefault="002F2525">
            <w:pPr>
              <w:rPr>
                <w:rFonts w:cs="Arial"/>
                <w:lang w:val="nl-NL"/>
              </w:rPr>
            </w:pPr>
            <w:r>
              <w:rPr>
                <w:rFonts w:cs="Arial"/>
                <w:lang w:val="nl-NL"/>
              </w:rPr>
              <w:t xml:space="preserve"> Dienst Krediet - Schuldenlast</w:t>
            </w:r>
          </w:p>
          <w:p w:rsidR="002F2525" w:rsidRDefault="002F2525">
            <w:pPr>
              <w:rPr>
                <w:rFonts w:cs="Arial"/>
                <w:lang w:val="nl-NL"/>
              </w:rPr>
            </w:pPr>
            <w:r>
              <w:rPr>
                <w:rFonts w:cs="Arial"/>
                <w:lang w:val="nl-NL"/>
              </w:rPr>
              <w:t xml:space="preserve"> </w:t>
            </w:r>
            <w:r w:rsidR="00772A95">
              <w:rPr>
                <w:rFonts w:cs="Arial"/>
                <w:lang w:val="nl-NL"/>
              </w:rPr>
              <w:t>Vooruitgangstraat 50</w:t>
            </w:r>
          </w:p>
          <w:p w:rsidR="002F2525" w:rsidRDefault="002F2525">
            <w:pPr>
              <w:rPr>
                <w:rFonts w:cs="Arial"/>
                <w:lang w:val="nl-NL"/>
              </w:rPr>
            </w:pPr>
            <w:r>
              <w:rPr>
                <w:rFonts w:cs="Arial"/>
                <w:lang w:val="nl-NL"/>
              </w:rPr>
              <w:t xml:space="preserve"> </w:t>
            </w:r>
            <w:r w:rsidR="00772A95">
              <w:rPr>
                <w:rFonts w:cs="Arial"/>
                <w:lang w:val="nl-NL"/>
              </w:rPr>
              <w:t>1210</w:t>
            </w:r>
            <w:r>
              <w:rPr>
                <w:rFonts w:cs="Arial"/>
                <w:lang w:val="nl-NL"/>
              </w:rPr>
              <w:t xml:space="preserve">        BRUSSEL</w:t>
            </w:r>
            <w:r>
              <w:rPr>
                <w:rFonts w:cs="Arial"/>
                <w:lang w:val="nl-NL"/>
              </w:rPr>
              <w:tab/>
            </w:r>
          </w:p>
          <w:p w:rsidR="002F2525" w:rsidRDefault="002F2525">
            <w:pPr>
              <w:rPr>
                <w:rFonts w:cs="Arial"/>
                <w:lang w:val="nl-NL"/>
              </w:rPr>
            </w:pPr>
          </w:p>
          <w:p w:rsidR="002F2525" w:rsidRDefault="002F2525">
            <w:pPr>
              <w:rPr>
                <w:rFonts w:cs="Arial"/>
                <w:b/>
                <w:lang w:val="nl-NL"/>
              </w:rPr>
            </w:pPr>
            <w:r w:rsidRPr="007941EE">
              <w:rPr>
                <w:rFonts w:cs="Arial"/>
                <w:b/>
                <w:lang w:val="nl-NL"/>
              </w:rPr>
              <w:t>A. Wij, ondergetekenden,</w:t>
            </w:r>
          </w:p>
          <w:p w:rsidR="00B2514B" w:rsidRPr="007941EE" w:rsidRDefault="00B2514B">
            <w:pPr>
              <w:rPr>
                <w:rFonts w:cs="Arial"/>
                <w:b/>
                <w:lang w:val="nl-NL"/>
              </w:rPr>
            </w:pPr>
          </w:p>
          <w:p w:rsidR="002F2525" w:rsidRDefault="002F2525">
            <w:pPr>
              <w:rPr>
                <w:rFonts w:cs="Arial"/>
                <w:lang w:val="nl-NL"/>
              </w:rPr>
            </w:pPr>
            <w:r>
              <w:rPr>
                <w:rFonts w:cs="Arial"/>
                <w:lang w:val="nl-NL"/>
              </w:rPr>
              <w:t xml:space="preserve">   ...............................optredend als ..............</w:t>
            </w:r>
          </w:p>
          <w:p w:rsidR="002F2525" w:rsidRDefault="002F2525">
            <w:pPr>
              <w:rPr>
                <w:rFonts w:cs="Arial"/>
                <w:lang w:val="nl-NL"/>
              </w:rPr>
            </w:pPr>
            <w:r>
              <w:rPr>
                <w:rFonts w:cs="Arial"/>
                <w:lang w:val="nl-NL"/>
              </w:rPr>
              <w:t xml:space="preserve">   ...............................optredend als ..............</w:t>
            </w:r>
          </w:p>
          <w:p w:rsidR="00B2514B" w:rsidRDefault="00B2514B">
            <w:pPr>
              <w:rPr>
                <w:rFonts w:cs="Arial"/>
                <w:lang w:val="nl-NL"/>
              </w:rPr>
            </w:pPr>
          </w:p>
          <w:p w:rsidR="002F2525" w:rsidRDefault="002F2525">
            <w:pPr>
              <w:rPr>
                <w:rFonts w:cs="Arial"/>
                <w:lang w:val="nl-NL"/>
              </w:rPr>
            </w:pPr>
            <w:r>
              <w:rPr>
                <w:rFonts w:cs="Arial"/>
                <w:lang w:val="nl-NL"/>
              </w:rPr>
              <w:t xml:space="preserve">   verzoeken om een erkenning van de (juridische aard van de rechtspersoon, benaming en adres)</w:t>
            </w:r>
          </w:p>
          <w:p w:rsidR="002F2525" w:rsidRDefault="002F2525">
            <w:pPr>
              <w:rPr>
                <w:rFonts w:cs="Arial"/>
                <w:lang w:val="nl-NL"/>
              </w:rPr>
            </w:pPr>
            <w:r>
              <w:rPr>
                <w:rFonts w:cs="Arial"/>
                <w:lang w:val="nl-NL"/>
              </w:rPr>
              <w:t xml:space="preserve">   ...........................................................</w:t>
            </w:r>
          </w:p>
          <w:p w:rsidR="002F2525" w:rsidRDefault="002F2525">
            <w:pPr>
              <w:rPr>
                <w:rFonts w:cs="Arial"/>
                <w:lang w:val="nl-NL"/>
              </w:rPr>
            </w:pPr>
            <w:r>
              <w:rPr>
                <w:rFonts w:cs="Arial"/>
                <w:lang w:val="nl-NL"/>
              </w:rPr>
              <w:t xml:space="preserve">   ...........................................................</w:t>
            </w:r>
          </w:p>
          <w:p w:rsidR="00B2514B" w:rsidRDefault="00B2514B">
            <w:pPr>
              <w:rPr>
                <w:rFonts w:cs="Arial"/>
                <w:lang w:val="nl-NL"/>
              </w:rPr>
            </w:pPr>
          </w:p>
          <w:p w:rsidR="002F2525" w:rsidRDefault="002F2525">
            <w:pPr>
              <w:rPr>
                <w:rFonts w:cs="Arial"/>
                <w:lang w:val="nl-NL"/>
              </w:rPr>
            </w:pPr>
            <w:r>
              <w:rPr>
                <w:rFonts w:cs="Arial"/>
                <w:lang w:val="nl-NL"/>
              </w:rPr>
              <w:t xml:space="preserve">   Ondernemingsnummer:……………………..</w:t>
            </w:r>
          </w:p>
          <w:p w:rsidR="002F2525" w:rsidRDefault="002F2525">
            <w:pPr>
              <w:rPr>
                <w:rFonts w:cs="Arial"/>
                <w:lang w:val="de-DE"/>
              </w:rPr>
            </w:pPr>
            <w:r>
              <w:rPr>
                <w:rFonts w:cs="Arial"/>
                <w:lang w:val="nl-NL"/>
              </w:rPr>
              <w:t xml:space="preserve">   </w:t>
            </w:r>
            <w:r>
              <w:rPr>
                <w:rFonts w:cs="Arial"/>
                <w:lang w:val="de-DE"/>
              </w:rPr>
              <w:t xml:space="preserve">Tel: ……………………..                               </w:t>
            </w:r>
            <w:proofErr w:type="spellStart"/>
            <w:r>
              <w:rPr>
                <w:rFonts w:cs="Arial"/>
                <w:lang w:val="de-DE"/>
              </w:rPr>
              <w:t>E-mail</w:t>
            </w:r>
            <w:proofErr w:type="spellEnd"/>
            <w:r>
              <w:rPr>
                <w:rFonts w:cs="Arial"/>
                <w:lang w:val="de-DE"/>
              </w:rPr>
              <w:t>: ………………………………………….</w:t>
            </w:r>
          </w:p>
          <w:p w:rsidR="00B2514B" w:rsidRDefault="00B2514B">
            <w:pPr>
              <w:rPr>
                <w:rFonts w:cs="Arial"/>
                <w:lang w:val="de-DE"/>
              </w:rPr>
            </w:pPr>
          </w:p>
          <w:p w:rsidR="002F2525" w:rsidRDefault="002F2525">
            <w:pPr>
              <w:rPr>
                <w:rFonts w:cs="Arial"/>
                <w:lang w:val="nl-NL"/>
              </w:rPr>
            </w:pPr>
            <w:r>
              <w:rPr>
                <w:rFonts w:cs="Arial"/>
                <w:lang w:val="de-DE"/>
              </w:rPr>
              <w:t xml:space="preserve">   </w:t>
            </w:r>
            <w:r>
              <w:rPr>
                <w:rFonts w:cs="Arial"/>
                <w:lang w:val="nl-NL"/>
              </w:rPr>
              <w:t xml:space="preserve">met het oog op het </w:t>
            </w:r>
            <w:r w:rsidR="0062039B">
              <w:rPr>
                <w:rFonts w:cs="Arial"/>
                <w:lang w:val="nl-NL"/>
              </w:rPr>
              <w:t>uitoefenen</w:t>
            </w:r>
            <w:r>
              <w:rPr>
                <w:rFonts w:cs="Arial"/>
                <w:lang w:val="nl-NL"/>
              </w:rPr>
              <w:t xml:space="preserve"> van (onnodige vermeldingen doorhalen) :</w:t>
            </w:r>
          </w:p>
          <w:p w:rsidR="00B2514B" w:rsidRDefault="00B2514B">
            <w:pPr>
              <w:rPr>
                <w:rFonts w:cs="Arial"/>
                <w:lang w:val="nl-NL"/>
              </w:rPr>
            </w:pPr>
          </w:p>
          <w:p w:rsidR="002F2525" w:rsidRDefault="002F2525">
            <w:pPr>
              <w:rPr>
                <w:rFonts w:cs="Arial"/>
                <w:lang w:val="nl-NL"/>
              </w:rPr>
            </w:pPr>
            <w:r>
              <w:rPr>
                <w:rFonts w:cs="Arial"/>
                <w:lang w:val="nl-NL"/>
              </w:rPr>
              <w:t xml:space="preserve">1°) </w:t>
            </w:r>
            <w:r w:rsidR="005E4F0D">
              <w:rPr>
                <w:rFonts w:cs="Arial"/>
                <w:lang w:val="nl-NL"/>
              </w:rPr>
              <w:t>Roerende financieringshuur</w:t>
            </w:r>
            <w:r w:rsidR="00384BFA">
              <w:rPr>
                <w:rFonts w:cs="Arial"/>
                <w:lang w:val="nl-NL"/>
              </w:rPr>
              <w:t>/leasing</w:t>
            </w:r>
            <w:r>
              <w:rPr>
                <w:rFonts w:cs="Arial"/>
                <w:lang w:val="nl-NL"/>
              </w:rPr>
              <w:t xml:space="preserve">        </w:t>
            </w:r>
            <w:r w:rsidR="005E4F0D">
              <w:rPr>
                <w:rFonts w:cs="Arial"/>
                <w:lang w:val="nl-NL"/>
              </w:rPr>
              <w:t>(art. 1, 1</w:t>
            </w:r>
            <w:r>
              <w:rPr>
                <w:rFonts w:cs="Arial"/>
                <w:lang w:val="nl-NL"/>
              </w:rPr>
              <w:t>°);</w:t>
            </w:r>
          </w:p>
          <w:p w:rsidR="002F2525" w:rsidRDefault="002F2525">
            <w:pPr>
              <w:rPr>
                <w:rFonts w:cs="Arial"/>
                <w:lang w:val="nl-NL"/>
              </w:rPr>
            </w:pPr>
            <w:r>
              <w:rPr>
                <w:rFonts w:cs="Arial"/>
                <w:lang w:val="nl-NL"/>
              </w:rPr>
              <w:t xml:space="preserve">2°) </w:t>
            </w:r>
            <w:r w:rsidR="005E4F0D">
              <w:rPr>
                <w:rFonts w:cs="Arial"/>
                <w:lang w:val="nl-NL"/>
              </w:rPr>
              <w:t>Onroerende financieringshuur</w:t>
            </w:r>
            <w:r w:rsidR="00384BFA">
              <w:rPr>
                <w:rFonts w:cs="Arial"/>
                <w:lang w:val="nl-NL"/>
              </w:rPr>
              <w:t>/leasing</w:t>
            </w:r>
            <w:r>
              <w:rPr>
                <w:rFonts w:cs="Arial"/>
                <w:lang w:val="nl-NL"/>
              </w:rPr>
              <w:t xml:space="preserve">     </w:t>
            </w:r>
            <w:r w:rsidR="005E4F0D">
              <w:rPr>
                <w:rFonts w:cs="Arial"/>
                <w:lang w:val="nl-NL"/>
              </w:rPr>
              <w:t>(art. 1, 2</w:t>
            </w:r>
            <w:r w:rsidR="00384BFA">
              <w:rPr>
                <w:rFonts w:cs="Arial"/>
                <w:lang w:val="nl-NL"/>
              </w:rPr>
              <w:t>°).</w:t>
            </w:r>
          </w:p>
          <w:p w:rsidR="00B2514B" w:rsidRDefault="00B2514B">
            <w:pPr>
              <w:rPr>
                <w:rFonts w:cs="Arial"/>
                <w:lang w:val="nl-NL"/>
              </w:rPr>
            </w:pPr>
          </w:p>
          <w:p w:rsidR="00B2514B" w:rsidRPr="0079563B" w:rsidRDefault="00B2514B" w:rsidP="00B2514B">
            <w:pPr>
              <w:rPr>
                <w:rFonts w:cs="Arial"/>
                <w:caps/>
                <w:u w:val="single"/>
                <w:lang w:val="nl-NL"/>
              </w:rPr>
            </w:pPr>
            <w:r>
              <w:rPr>
                <w:rFonts w:cs="Arial"/>
                <w:lang w:val="nl-NL"/>
              </w:rPr>
              <w:t xml:space="preserve">Gelieve hier onderaan naam, voornaam, woonplaats en geboortedatum in te vullen, van </w:t>
            </w:r>
            <w:r w:rsidR="00C738AE">
              <w:rPr>
                <w:rFonts w:cs="Arial"/>
                <w:caps/>
                <w:u w:val="single"/>
                <w:lang w:val="nl-NL"/>
              </w:rPr>
              <w:t xml:space="preserve">alle bestuurders OF </w:t>
            </w:r>
            <w:r w:rsidR="003C00BD">
              <w:rPr>
                <w:rFonts w:cs="Arial"/>
                <w:caps/>
                <w:u w:val="single"/>
                <w:lang w:val="nl-NL"/>
              </w:rPr>
              <w:t>zaakvoerders</w:t>
            </w:r>
            <w:r w:rsidRPr="0079563B">
              <w:rPr>
                <w:rFonts w:cs="Arial"/>
                <w:caps/>
                <w:u w:val="single"/>
                <w:lang w:val="nl-NL"/>
              </w:rPr>
              <w:t>:</w:t>
            </w:r>
          </w:p>
          <w:p w:rsidR="00B2514B" w:rsidRDefault="00B2514B" w:rsidP="00B2514B">
            <w:pPr>
              <w:rPr>
                <w:rFonts w:cs="Arial"/>
                <w:lang w:val="nl-NL"/>
              </w:rPr>
            </w:pPr>
          </w:p>
          <w:p w:rsidR="00B2514B" w:rsidRDefault="00B2514B" w:rsidP="00B2514B">
            <w:pPr>
              <w:rPr>
                <w:rFonts w:cs="Arial"/>
                <w:lang w:val="nl-NL"/>
              </w:rPr>
            </w:pPr>
            <w:r>
              <w:rPr>
                <w:rFonts w:cs="Arial"/>
                <w:lang w:val="nl-NL"/>
              </w:rPr>
              <w:t>1)</w:t>
            </w:r>
          </w:p>
          <w:p w:rsidR="00B2514B" w:rsidRDefault="00B2514B" w:rsidP="00B2514B">
            <w:pPr>
              <w:rPr>
                <w:rFonts w:cs="Arial"/>
                <w:lang w:val="nl-NL"/>
              </w:rPr>
            </w:pPr>
            <w:r>
              <w:rPr>
                <w:rFonts w:cs="Arial"/>
                <w:lang w:val="nl-NL"/>
              </w:rPr>
              <w:t>2)</w:t>
            </w:r>
          </w:p>
          <w:p w:rsidR="00B2514B" w:rsidRDefault="00B2514B" w:rsidP="00B2514B">
            <w:pPr>
              <w:rPr>
                <w:rFonts w:cs="Arial"/>
                <w:lang w:val="nl-NL"/>
              </w:rPr>
            </w:pPr>
            <w:r>
              <w:rPr>
                <w:rFonts w:cs="Arial"/>
                <w:lang w:val="nl-NL"/>
              </w:rPr>
              <w:t>3)</w:t>
            </w:r>
          </w:p>
          <w:p w:rsidR="00B2514B" w:rsidRDefault="00B2514B" w:rsidP="00B2514B">
            <w:pPr>
              <w:rPr>
                <w:rFonts w:cs="Arial"/>
                <w:lang w:val="nl-NL"/>
              </w:rPr>
            </w:pPr>
            <w:r>
              <w:rPr>
                <w:rFonts w:cs="Arial"/>
                <w:lang w:val="nl-NL"/>
              </w:rPr>
              <w:t>4)</w:t>
            </w:r>
          </w:p>
          <w:p w:rsidR="00B2514B" w:rsidRDefault="00B2514B" w:rsidP="00B2514B">
            <w:pPr>
              <w:rPr>
                <w:rFonts w:cs="Arial"/>
                <w:lang w:val="nl-NL"/>
              </w:rPr>
            </w:pPr>
            <w:r>
              <w:rPr>
                <w:rFonts w:cs="Arial"/>
                <w:lang w:val="nl-NL"/>
              </w:rPr>
              <w:t>5)</w:t>
            </w:r>
          </w:p>
          <w:p w:rsidR="00B2514B" w:rsidRDefault="00B2514B" w:rsidP="00B2514B">
            <w:pPr>
              <w:rPr>
                <w:rFonts w:cs="Arial"/>
                <w:lang w:val="nl-NL"/>
              </w:rPr>
            </w:pPr>
            <w:r>
              <w:rPr>
                <w:rFonts w:cs="Arial"/>
                <w:lang w:val="nl-NL"/>
              </w:rPr>
              <w:t>6)</w:t>
            </w:r>
          </w:p>
          <w:p w:rsidR="002F2525" w:rsidRPr="007941EE" w:rsidRDefault="002F2525">
            <w:pPr>
              <w:rPr>
                <w:rFonts w:cs="Arial"/>
                <w:b/>
                <w:lang w:val="nl-NL"/>
              </w:rPr>
            </w:pPr>
            <w:r w:rsidRPr="007941EE">
              <w:rPr>
                <w:rFonts w:cs="Arial"/>
                <w:b/>
                <w:lang w:val="nl-NL"/>
              </w:rPr>
              <w:lastRenderedPageBreak/>
              <w:t>B. Bij deze aanvraag voegen wij :</w:t>
            </w:r>
          </w:p>
          <w:p w:rsidR="002F2525" w:rsidRDefault="003C00BD">
            <w:pPr>
              <w:rPr>
                <w:rFonts w:cs="Arial"/>
                <w:lang w:val="nl-NL"/>
              </w:rPr>
            </w:pPr>
            <w:r>
              <w:rPr>
                <w:rFonts w:cs="Arial"/>
                <w:lang w:val="nl-NL"/>
              </w:rPr>
              <w:t>1</w:t>
            </w:r>
            <w:r w:rsidR="002F2525">
              <w:rPr>
                <w:rFonts w:cs="Arial"/>
                <w:lang w:val="nl-NL"/>
              </w:rPr>
              <w:t xml:space="preserve">. </w:t>
            </w:r>
            <w:r w:rsidR="00C738AE">
              <w:rPr>
                <w:rFonts w:cs="Arial"/>
                <w:lang w:val="nl-NL"/>
              </w:rPr>
              <w:t>de meest recente jaarrekeningen, samen met de nodige bijlagen</w:t>
            </w:r>
            <w:r w:rsidR="00DA2D8A">
              <w:rPr>
                <w:rFonts w:cs="Arial"/>
                <w:lang w:val="nl-NL"/>
              </w:rPr>
              <w:t xml:space="preserve"> (of het financiële plan voor pas opgerichte ondernemingen) </w:t>
            </w:r>
            <w:r w:rsidR="00FD43EF">
              <w:rPr>
                <w:rFonts w:cs="Arial"/>
                <w:lang w:val="nl-NL"/>
              </w:rPr>
              <w:t>om te kunnen nagaan of d</w:t>
            </w:r>
            <w:r w:rsidR="00384BFA">
              <w:rPr>
                <w:rFonts w:cs="Arial"/>
                <w:lang w:val="nl-NL"/>
              </w:rPr>
              <w:t>e onderneming</w:t>
            </w:r>
            <w:r w:rsidR="00FD43EF">
              <w:rPr>
                <w:rFonts w:cs="Arial"/>
                <w:lang w:val="nl-NL"/>
              </w:rPr>
              <w:t xml:space="preserve"> </w:t>
            </w:r>
            <w:r>
              <w:rPr>
                <w:rFonts w:cs="Arial"/>
                <w:lang w:val="nl-NL"/>
              </w:rPr>
              <w:t xml:space="preserve">beantwoordt aan de financiële voorwaarden gesteld in het ministerieel besluit </w:t>
            </w:r>
            <w:r w:rsidRPr="009A10E4">
              <w:rPr>
                <w:rFonts w:cs="Arial"/>
                <w:szCs w:val="18"/>
              </w:rPr>
              <w:t>tot bepaling van de voorwaarden tot erkenning van de ondernemingen gespecialiseerd in financieringshuur</w:t>
            </w:r>
            <w:r w:rsidR="00FD43EF">
              <w:rPr>
                <w:rFonts w:cs="Arial"/>
                <w:lang w:val="nl-NL"/>
              </w:rPr>
              <w:t>;</w:t>
            </w:r>
          </w:p>
          <w:p w:rsidR="002F2525" w:rsidRDefault="002F2525">
            <w:pPr>
              <w:rPr>
                <w:rFonts w:cs="Arial"/>
                <w:lang w:val="nl-NL"/>
              </w:rPr>
            </w:pPr>
          </w:p>
          <w:p w:rsidR="008C6809" w:rsidRDefault="003C00BD">
            <w:pPr>
              <w:rPr>
                <w:rFonts w:cs="Arial"/>
                <w:lang w:val="nl-NL"/>
              </w:rPr>
            </w:pPr>
            <w:r>
              <w:rPr>
                <w:rFonts w:cs="Arial"/>
                <w:lang w:val="nl-NL"/>
              </w:rPr>
              <w:t>2</w:t>
            </w:r>
            <w:r w:rsidR="008C6809">
              <w:rPr>
                <w:rFonts w:cs="Arial"/>
                <w:lang w:val="nl-NL"/>
              </w:rPr>
              <w:t>. een modelcontract</w:t>
            </w:r>
            <w:r w:rsidR="002F2525">
              <w:rPr>
                <w:rFonts w:cs="Arial"/>
                <w:lang w:val="nl-NL"/>
              </w:rPr>
              <w:t xml:space="preserve"> </w:t>
            </w:r>
            <w:r w:rsidR="008C6809">
              <w:rPr>
                <w:rFonts w:cs="Arial"/>
                <w:lang w:val="nl-NL"/>
              </w:rPr>
              <w:t>van de leasing</w:t>
            </w:r>
            <w:r w:rsidR="00BD5E18">
              <w:rPr>
                <w:rFonts w:cs="Arial"/>
                <w:lang w:val="nl-NL"/>
              </w:rPr>
              <w:t>s</w:t>
            </w:r>
            <w:r w:rsidR="008C6809">
              <w:rPr>
                <w:rFonts w:cs="Arial"/>
                <w:lang w:val="nl-NL"/>
              </w:rPr>
              <w:t xml:space="preserve">vormen, ingevuld met een representatief voorbeeld, </w:t>
            </w:r>
            <w:r w:rsidR="002F2525">
              <w:rPr>
                <w:rFonts w:cs="Arial"/>
                <w:lang w:val="nl-NL"/>
              </w:rPr>
              <w:t>waarvoor</w:t>
            </w:r>
            <w:r>
              <w:rPr>
                <w:rFonts w:cs="Arial"/>
                <w:lang w:val="nl-NL"/>
              </w:rPr>
              <w:t xml:space="preserve"> de erkenning aangevraagd wordt, waaruit kan afgeleid worden dat deze overeenkomst beantwoordt aan de definities bedoeld in artikel 1 van het KB nr. 55 van 10 november 1967.</w:t>
            </w:r>
          </w:p>
          <w:p w:rsidR="008C6809" w:rsidRDefault="008C6809">
            <w:pPr>
              <w:rPr>
                <w:rFonts w:cs="Arial"/>
                <w:lang w:val="nl-NL"/>
              </w:rPr>
            </w:pPr>
          </w:p>
          <w:p w:rsidR="002F2525" w:rsidRDefault="002F2525">
            <w:pPr>
              <w:rPr>
                <w:rFonts w:cs="Arial"/>
                <w:b/>
                <w:lang w:val="nl-NL"/>
              </w:rPr>
            </w:pPr>
            <w:r w:rsidRPr="007941EE">
              <w:rPr>
                <w:rFonts w:cs="Arial"/>
                <w:b/>
                <w:lang w:val="nl-NL"/>
              </w:rPr>
              <w:t>C. Wij verbinden ons ertoe</w:t>
            </w:r>
            <w:r w:rsidR="003C00BD">
              <w:rPr>
                <w:rFonts w:cs="Arial"/>
                <w:b/>
                <w:lang w:val="nl-NL"/>
              </w:rPr>
              <w:t>,</w:t>
            </w:r>
            <w:r w:rsidRPr="007941EE">
              <w:rPr>
                <w:rFonts w:cs="Arial"/>
                <w:b/>
                <w:lang w:val="nl-NL"/>
              </w:rPr>
              <w:t xml:space="preserve"> </w:t>
            </w:r>
            <w:r w:rsidR="003C00BD">
              <w:rPr>
                <w:rFonts w:cs="Arial"/>
                <w:b/>
                <w:lang w:val="nl-NL"/>
              </w:rPr>
              <w:t>namens</w:t>
            </w:r>
            <w:r w:rsidRPr="007941EE">
              <w:rPr>
                <w:rFonts w:cs="Arial"/>
                <w:b/>
                <w:lang w:val="nl-NL"/>
              </w:rPr>
              <w:t xml:space="preserve"> verzoekster</w:t>
            </w:r>
            <w:r w:rsidR="003C00BD">
              <w:rPr>
                <w:rFonts w:cs="Arial"/>
                <w:b/>
                <w:lang w:val="nl-NL"/>
              </w:rPr>
              <w:t>,</w:t>
            </w:r>
            <w:r w:rsidRPr="007941EE">
              <w:rPr>
                <w:rFonts w:cs="Arial"/>
                <w:b/>
                <w:lang w:val="nl-NL"/>
              </w:rPr>
              <w:t xml:space="preserve"> </w:t>
            </w:r>
            <w:r w:rsidR="003C00BD">
              <w:rPr>
                <w:rFonts w:cs="Arial"/>
                <w:b/>
                <w:lang w:val="nl-NL"/>
              </w:rPr>
              <w:t>om</w:t>
            </w:r>
            <w:r w:rsidRPr="007941EE">
              <w:rPr>
                <w:rFonts w:cs="Arial"/>
                <w:b/>
                <w:lang w:val="nl-NL"/>
              </w:rPr>
              <w:t>:</w:t>
            </w:r>
          </w:p>
          <w:p w:rsidR="00BD5E18" w:rsidRPr="007941EE" w:rsidRDefault="00BD5E18">
            <w:pPr>
              <w:rPr>
                <w:rFonts w:cs="Arial"/>
                <w:b/>
                <w:lang w:val="nl-NL"/>
              </w:rPr>
            </w:pPr>
          </w:p>
          <w:p w:rsidR="00BD5E18" w:rsidRPr="00BD5E18" w:rsidRDefault="00BD5E18" w:rsidP="009A10E4">
            <w:pPr>
              <w:jc w:val="both"/>
              <w:rPr>
                <w:rFonts w:cs="Arial"/>
                <w:lang w:val="nl-NL"/>
              </w:rPr>
            </w:pPr>
            <w:r w:rsidRPr="00BD5E18">
              <w:rPr>
                <w:rFonts w:cs="Arial"/>
                <w:lang w:val="nl-NL"/>
              </w:rPr>
              <w:t xml:space="preserve">a) het </w:t>
            </w:r>
            <w:r>
              <w:rPr>
                <w:rFonts w:cs="Arial"/>
                <w:lang w:val="nl-NL"/>
              </w:rPr>
              <w:t>minimum</w:t>
            </w:r>
            <w:r w:rsidR="009A10E4">
              <w:rPr>
                <w:rFonts w:cs="Arial"/>
                <w:lang w:val="nl-NL"/>
              </w:rPr>
              <w:t xml:space="preserve"> kapitaal, zoals bepaald in </w:t>
            </w:r>
            <w:r>
              <w:rPr>
                <w:rFonts w:cs="Arial"/>
                <w:lang w:val="nl-NL"/>
              </w:rPr>
              <w:t>artikel 2, 1°</w:t>
            </w:r>
            <w:r w:rsidR="009A10E4">
              <w:rPr>
                <w:rFonts w:cs="Arial"/>
                <w:lang w:val="nl-NL"/>
              </w:rPr>
              <w:t xml:space="preserve">, b, van het ministerieel besluit </w:t>
            </w:r>
            <w:r w:rsidR="009A10E4" w:rsidRPr="009A10E4">
              <w:rPr>
                <w:rFonts w:cs="Arial"/>
                <w:szCs w:val="18"/>
              </w:rPr>
              <w:t>tot bepaling van de voorwaarden tot erkenning van de ondernemingen gespecialiseerd in financieringshuur</w:t>
            </w:r>
            <w:r w:rsidR="009A10E4">
              <w:rPr>
                <w:rFonts w:cs="Arial"/>
                <w:szCs w:val="18"/>
              </w:rPr>
              <w:t>,</w:t>
            </w:r>
            <w:r w:rsidR="009A10E4" w:rsidRPr="00BD5E18">
              <w:rPr>
                <w:rFonts w:cs="Arial"/>
                <w:lang w:val="nl-NL"/>
              </w:rPr>
              <w:t xml:space="preserve"> </w:t>
            </w:r>
            <w:r w:rsidRPr="00BD5E18">
              <w:rPr>
                <w:rFonts w:cs="Arial"/>
                <w:lang w:val="nl-NL"/>
              </w:rPr>
              <w:t>blijvend te handhaven;</w:t>
            </w:r>
          </w:p>
          <w:p w:rsidR="00BD5E18" w:rsidRPr="00BD5E18" w:rsidRDefault="00BD5E18" w:rsidP="009A10E4">
            <w:pPr>
              <w:jc w:val="both"/>
              <w:rPr>
                <w:rFonts w:cs="Arial"/>
                <w:lang w:val="nl-NL"/>
              </w:rPr>
            </w:pPr>
          </w:p>
          <w:p w:rsidR="00BD5E18" w:rsidRDefault="00BD5E18" w:rsidP="009A10E4">
            <w:pPr>
              <w:jc w:val="both"/>
              <w:rPr>
                <w:rFonts w:cs="Arial"/>
                <w:lang w:val="nl-NL"/>
              </w:rPr>
            </w:pPr>
            <w:r w:rsidRPr="00BD5E18">
              <w:rPr>
                <w:rFonts w:cs="Arial"/>
                <w:lang w:val="nl-NL"/>
              </w:rPr>
              <w:t>b) een afzonderlijke boekhouding betreffende de financieringshuurverrichtingen te voeren, indien zij andere verrichtingen dan financieringshuur uitoefent. Hieronder wordt verstaan dat de betrokken rechtspersoon op basis van de gesloten financieringshuurovereenkomsten en overeenkomstig de rubrieken van de  jaarrekening opgemaakt overeenkomstig de schema’s bepaald in boek II, titel I, hoofdstuk III, afdelingen II en III, van het koninklijk besluit van 30 januari 2001 tot uitvoering van het Wetboek van Vennootschappen met betrekking tot de financieringshuurverrichtingen de  vorderingen op meer dan één jaar (onder rubriek 29) en vorderingen op ten hoogste één jaar (onde</w:t>
            </w:r>
            <w:r w:rsidR="00C738AE">
              <w:rPr>
                <w:rFonts w:cs="Arial"/>
                <w:lang w:val="nl-NL"/>
              </w:rPr>
              <w:t>r rubriek 40/41) kan weergeven ofwel aan de hand van de balans, ofwel aan de hand van bijlagen aan de jaarrekeningen;</w:t>
            </w:r>
            <w:r w:rsidRPr="00BD5E18">
              <w:rPr>
                <w:rFonts w:cs="Arial"/>
                <w:lang w:val="nl-NL"/>
              </w:rPr>
              <w:t xml:space="preserve"> </w:t>
            </w:r>
          </w:p>
          <w:p w:rsidR="009A10E4" w:rsidRPr="00BD5E18" w:rsidRDefault="009A10E4" w:rsidP="009A10E4">
            <w:pPr>
              <w:jc w:val="both"/>
              <w:rPr>
                <w:rFonts w:cs="Arial"/>
                <w:lang w:val="nl-NL"/>
              </w:rPr>
            </w:pPr>
          </w:p>
          <w:p w:rsidR="00BD5E18" w:rsidRDefault="00BD5E18" w:rsidP="009A10E4">
            <w:pPr>
              <w:jc w:val="both"/>
              <w:rPr>
                <w:rFonts w:cs="Arial"/>
                <w:lang w:val="nl-NL"/>
              </w:rPr>
            </w:pPr>
            <w:r w:rsidRPr="00BD5E18">
              <w:rPr>
                <w:rFonts w:cs="Arial"/>
                <w:lang w:val="nl-NL"/>
              </w:rPr>
              <w:t>c) dat de post ‘Vorderingen op meer dan 1 jaar’ (onder rubriek 29) overeenkomstig de rubrieken van de jaarrekening opgemaakt overeenkomstig de schema’s bepaald in boek II, titel I, hoofdstuk III, afdelingen II en III, van het koninklijk besluit van 30 januari 2001 tot uitvoering van het Wetboek van Vennootschappen, voor minstens 80% wordt gefinancierd door de som van het eigen vermogen (rubriek 10/15) en de schulden op meer dan 1 jaar (rubriek 170/4);</w:t>
            </w:r>
          </w:p>
          <w:p w:rsidR="00C738AE" w:rsidRPr="00BD5E18" w:rsidRDefault="00C738AE" w:rsidP="009A10E4">
            <w:pPr>
              <w:jc w:val="both"/>
              <w:rPr>
                <w:rFonts w:cs="Arial"/>
                <w:lang w:val="nl-NL"/>
              </w:rPr>
            </w:pPr>
          </w:p>
          <w:p w:rsidR="00BD5E18" w:rsidRPr="00BD5E18" w:rsidRDefault="00BD5E18" w:rsidP="009A10E4">
            <w:pPr>
              <w:jc w:val="both"/>
              <w:rPr>
                <w:rFonts w:cs="Arial"/>
                <w:lang w:val="nl-NL"/>
              </w:rPr>
            </w:pPr>
            <w:r w:rsidRPr="00BD5E18">
              <w:rPr>
                <w:rFonts w:cs="Arial"/>
                <w:lang w:val="nl-NL"/>
              </w:rPr>
              <w:t xml:space="preserve">d) aan de ambtenaren van de dienst Krediet en Schuldenlast bij  de Algemene Directie Regulering en Organisatie van de Markt van de FOD Economie, K.M.O., Middenstand en Energie elk document te bezorgen dat toelaat het bewijs te leveren dat aan de voorwaarden bedoeld in </w:t>
            </w:r>
            <w:r w:rsidR="00C738AE">
              <w:rPr>
                <w:rFonts w:cs="Arial"/>
                <w:lang w:val="nl-NL"/>
              </w:rPr>
              <w:t xml:space="preserve">artikel 2, </w:t>
            </w:r>
            <w:r w:rsidRPr="00BD5E18">
              <w:rPr>
                <w:rFonts w:cs="Arial"/>
                <w:lang w:val="nl-NL"/>
              </w:rPr>
              <w:t xml:space="preserve">1°, d) </w:t>
            </w:r>
            <w:r w:rsidR="00C738AE">
              <w:rPr>
                <w:rFonts w:cs="Arial"/>
                <w:lang w:val="nl-NL"/>
              </w:rPr>
              <w:t xml:space="preserve">in het ministerieel besluit </w:t>
            </w:r>
            <w:r w:rsidR="00C738AE" w:rsidRPr="009A10E4">
              <w:rPr>
                <w:rFonts w:cs="Arial"/>
                <w:szCs w:val="18"/>
              </w:rPr>
              <w:t>tot bepaling van de voorwaarden tot erkenning van de ondernemingen gespecialiseerd in financieringshuur</w:t>
            </w:r>
            <w:r w:rsidR="00C57397">
              <w:rPr>
                <w:rFonts w:cs="Arial"/>
                <w:szCs w:val="18"/>
              </w:rPr>
              <w:t>, wordt voldaan</w:t>
            </w:r>
            <w:r w:rsidRPr="00BD5E18">
              <w:rPr>
                <w:rFonts w:cs="Arial"/>
                <w:lang w:val="nl-NL"/>
              </w:rPr>
              <w:t>;</w:t>
            </w:r>
          </w:p>
          <w:p w:rsidR="00BD5E18" w:rsidRPr="00BD5E18" w:rsidRDefault="00BD5E18" w:rsidP="009A10E4">
            <w:pPr>
              <w:jc w:val="both"/>
              <w:rPr>
                <w:rFonts w:cs="Arial"/>
                <w:lang w:val="nl-NL"/>
              </w:rPr>
            </w:pPr>
          </w:p>
          <w:p w:rsidR="00BD5E18" w:rsidRPr="00BD5E18" w:rsidRDefault="00BD5E18" w:rsidP="009A10E4">
            <w:pPr>
              <w:jc w:val="both"/>
              <w:rPr>
                <w:rFonts w:cs="Arial"/>
                <w:lang w:val="nl-NL"/>
              </w:rPr>
            </w:pPr>
            <w:r w:rsidRPr="00BD5E18">
              <w:rPr>
                <w:rFonts w:cs="Arial"/>
                <w:lang w:val="nl-NL"/>
              </w:rPr>
              <w:t>e) jaarlijks aan de dienst Krediet en Schuldenlast bij  de Algemene Directie Regulering en Organisatie van de Markt van de FOD Economie, K.M.O., Middenstand en Energie een goedgekeurde jaarrekening</w:t>
            </w:r>
            <w:r w:rsidR="00C738AE">
              <w:rPr>
                <w:rFonts w:cs="Arial"/>
                <w:lang w:val="nl-NL"/>
              </w:rPr>
              <w:t xml:space="preserve"> samen met de nodige bijlagen</w:t>
            </w:r>
            <w:r w:rsidRPr="00BD5E18">
              <w:rPr>
                <w:rFonts w:cs="Arial"/>
                <w:lang w:val="nl-NL"/>
              </w:rPr>
              <w:t xml:space="preserve"> toe te zenden waardoor kan vastgesteld worden dat zij aan de vereisten bedoeld in a) tot c) beantwoordt. Indien uit die jaarrekening</w:t>
            </w:r>
            <w:r w:rsidR="00C738AE">
              <w:rPr>
                <w:rFonts w:cs="Arial"/>
                <w:lang w:val="nl-NL"/>
              </w:rPr>
              <w:t xml:space="preserve"> of bijlagen</w:t>
            </w:r>
            <w:r w:rsidRPr="00BD5E18">
              <w:rPr>
                <w:rFonts w:cs="Arial"/>
                <w:lang w:val="nl-NL"/>
              </w:rPr>
              <w:t xml:space="preserve"> blijkt dat niet aan alle vereisten wordt voldaan, zal de onderneming op verzoek van de ambtenaren van de bovenvermelde dienst van de FOD Economie, K.M.O., Middenstand en Energie de nodige verklaringen geven. Op verzoek van de bevoegde dienst, zal desgevallend een remediëringsp</w:t>
            </w:r>
            <w:r w:rsidR="007D226F">
              <w:rPr>
                <w:rFonts w:cs="Arial"/>
                <w:lang w:val="nl-NL"/>
              </w:rPr>
              <w:t>lan worden overgemaakt</w:t>
            </w:r>
            <w:r w:rsidRPr="00BD5E18">
              <w:rPr>
                <w:rFonts w:cs="Arial"/>
                <w:lang w:val="nl-NL"/>
              </w:rPr>
              <w:t>;</w:t>
            </w:r>
          </w:p>
          <w:p w:rsidR="00BD5E18" w:rsidRPr="00BD5E18" w:rsidRDefault="00BD5E18" w:rsidP="009A10E4">
            <w:pPr>
              <w:jc w:val="both"/>
              <w:rPr>
                <w:rFonts w:cs="Arial"/>
                <w:lang w:val="nl-NL"/>
              </w:rPr>
            </w:pPr>
          </w:p>
          <w:p w:rsidR="002F2525" w:rsidRDefault="00BD5E18" w:rsidP="009A10E4">
            <w:pPr>
              <w:jc w:val="both"/>
              <w:rPr>
                <w:rFonts w:cs="Arial"/>
                <w:lang w:val="nl-NL"/>
              </w:rPr>
            </w:pPr>
            <w:r w:rsidRPr="00BD5E18">
              <w:rPr>
                <w:rFonts w:cs="Arial"/>
                <w:lang w:val="nl-NL"/>
              </w:rPr>
              <w:t xml:space="preserve">f) aan de ambtenaren van de dienst Krediet en Schuldenlast bij de Algemene Directie Regulering en Organisatie van de Markt en van de Algemene Directie Controle en Bemiddeling van de FOD Economie, K.M.O., Middenstand en Energie inzage  te verlenen van de gesloten financieringshuurovereenkomsten en van alle boekhoudkundige bescheiden in verband met deze overeenkomsten, waarvan de inzage noodzakelijk is voor het vervullen van hun </w:t>
            </w:r>
            <w:r w:rsidRPr="00BD5E18">
              <w:rPr>
                <w:rFonts w:cs="Arial"/>
                <w:lang w:val="nl-NL"/>
              </w:rPr>
              <w:lastRenderedPageBreak/>
              <w:t>opdracht.</w:t>
            </w:r>
          </w:p>
          <w:p w:rsidR="006E0C07" w:rsidRDefault="006E0C07" w:rsidP="0079563B">
            <w:pPr>
              <w:ind w:left="72" w:hanging="72"/>
              <w:jc w:val="both"/>
              <w:rPr>
                <w:rFonts w:cs="Arial"/>
                <w:lang w:val="nl-NL"/>
              </w:rPr>
            </w:pPr>
          </w:p>
          <w:p w:rsidR="00624FDD" w:rsidRDefault="00624FDD" w:rsidP="0079563B">
            <w:pPr>
              <w:ind w:left="72" w:hanging="72"/>
              <w:jc w:val="both"/>
              <w:rPr>
                <w:rFonts w:cs="Arial"/>
                <w:lang w:val="nl-NL"/>
              </w:rPr>
            </w:pPr>
          </w:p>
          <w:p w:rsidR="002F2525" w:rsidRDefault="002F2525">
            <w:pPr>
              <w:rPr>
                <w:rFonts w:cs="Arial"/>
                <w:lang w:val="nl-NL"/>
              </w:rPr>
            </w:pPr>
          </w:p>
          <w:p w:rsidR="005E728F" w:rsidRDefault="002F2525">
            <w:pPr>
              <w:rPr>
                <w:rFonts w:cs="Arial"/>
                <w:b/>
                <w:lang w:val="nl-NL"/>
              </w:rPr>
            </w:pPr>
            <w:r w:rsidRPr="007941EE">
              <w:rPr>
                <w:rFonts w:cs="Arial"/>
                <w:b/>
                <w:lang w:val="nl-NL"/>
              </w:rPr>
              <w:t>D. Wij bevestigen :</w:t>
            </w:r>
          </w:p>
          <w:p w:rsidR="00D032F8" w:rsidRPr="005E728F" w:rsidRDefault="00D032F8">
            <w:pPr>
              <w:rPr>
                <w:rFonts w:cs="Arial"/>
                <w:b/>
                <w:lang w:val="nl-NL"/>
              </w:rPr>
            </w:pPr>
          </w:p>
          <w:p w:rsidR="002F2525" w:rsidRDefault="002F2525" w:rsidP="005E728F">
            <w:pPr>
              <w:ind w:left="72" w:hanging="72"/>
              <w:jc w:val="both"/>
              <w:rPr>
                <w:rFonts w:cs="Arial"/>
                <w:lang w:val="nl-NL"/>
              </w:rPr>
            </w:pPr>
            <w:r>
              <w:rPr>
                <w:rFonts w:cs="Arial"/>
                <w:lang w:val="nl-NL"/>
              </w:rPr>
              <w:t xml:space="preserve">- dat ten laste van de verzoekster geen vonnis of arrest van faillietverklaring gewezen werd en dat geen enkele beheerder, zaakvoerder, directeur of gevolmachtigde van de verzoekster een niet in eer herstelde gefailleerde is of een gevangenisstraf van ten minste een maand, zelfs voorwaardelijk, opgelopen heeft wegens een inbreuk die strafbaar gesteld werd door het koninklijk besluit </w:t>
            </w:r>
            <w:proofErr w:type="spellStart"/>
            <w:r>
              <w:rPr>
                <w:rFonts w:cs="Arial"/>
                <w:lang w:val="nl-NL"/>
              </w:rPr>
              <w:t>nr</w:t>
            </w:r>
            <w:proofErr w:type="spellEnd"/>
            <w:r>
              <w:rPr>
                <w:rFonts w:cs="Arial"/>
                <w:lang w:val="nl-NL"/>
              </w:rPr>
              <w:t xml:space="preserve"> 22  van 24 oktober 1934</w:t>
            </w:r>
            <w:r w:rsidR="00C72C41">
              <w:rPr>
                <w:rFonts w:cs="Arial"/>
                <w:lang w:val="nl-NL"/>
              </w:rPr>
              <w:t xml:space="preserve"> (zie b</w:t>
            </w:r>
            <w:r w:rsidR="00010C3F">
              <w:rPr>
                <w:rFonts w:cs="Arial"/>
                <w:lang w:val="nl-NL"/>
              </w:rPr>
              <w:t>ijlage I)</w:t>
            </w:r>
            <w:r>
              <w:rPr>
                <w:rFonts w:cs="Arial"/>
                <w:lang w:val="nl-NL"/>
              </w:rPr>
              <w:t xml:space="preserve"> en niet gevolgd werd door een eerherstel;</w:t>
            </w:r>
          </w:p>
          <w:p w:rsidR="005E728F" w:rsidRDefault="005E728F" w:rsidP="005E728F">
            <w:pPr>
              <w:ind w:left="72" w:hanging="72"/>
              <w:jc w:val="both"/>
              <w:rPr>
                <w:rFonts w:cs="Arial"/>
                <w:lang w:val="nl-NL"/>
              </w:rPr>
            </w:pPr>
          </w:p>
          <w:p w:rsidR="002F2525" w:rsidRDefault="002F2525" w:rsidP="0079563B">
            <w:pPr>
              <w:ind w:left="72" w:hanging="72"/>
              <w:jc w:val="both"/>
              <w:rPr>
                <w:rFonts w:cs="Arial"/>
                <w:lang w:val="nl-NL"/>
              </w:rPr>
            </w:pPr>
            <w:r>
              <w:rPr>
                <w:rFonts w:cs="Arial"/>
                <w:lang w:val="nl-NL"/>
              </w:rPr>
              <w:t>- dat geen beheerder, zaakvoerder, directeur of gevolmachtigde een gelijkaardig ambt uitoefent in een onderneming die het voorwerp uitmaakt van een intrekking of een opschorting van de erkenning voor de duur van deze maatregel;</w:t>
            </w:r>
          </w:p>
          <w:p w:rsidR="002F2525" w:rsidRDefault="002F2525">
            <w:pPr>
              <w:rPr>
                <w:rFonts w:cs="Arial"/>
                <w:lang w:val="nl-NL"/>
              </w:rPr>
            </w:pPr>
          </w:p>
          <w:p w:rsidR="002F2525" w:rsidRDefault="002F2525" w:rsidP="0079563B">
            <w:pPr>
              <w:ind w:left="72" w:hanging="72"/>
              <w:jc w:val="both"/>
              <w:rPr>
                <w:rFonts w:cs="Arial"/>
                <w:lang w:val="nl-NL"/>
              </w:rPr>
            </w:pPr>
            <w:r>
              <w:rPr>
                <w:rFonts w:cs="Arial"/>
                <w:lang w:val="nl-NL"/>
              </w:rPr>
              <w:t>- dat geen beheerder, zaakvoerder, directeur of gevolmachtigde van de verzoekster een gevangenis</w:t>
            </w:r>
            <w:r>
              <w:rPr>
                <w:rFonts w:cs="Arial"/>
                <w:lang w:val="nl-NL"/>
              </w:rPr>
              <w:softHyphen/>
              <w:t xml:space="preserve">straf van tenminste een maand, zelfs voorwaardelijk, in de tien jaar die aan de aanvraag voorafgaan, heeft opgelopen, wegens een inbreuk </w:t>
            </w:r>
            <w:r w:rsidR="00190FFF">
              <w:rPr>
                <w:rFonts w:cs="Arial"/>
                <w:lang w:val="nl-NL"/>
              </w:rPr>
              <w:t xml:space="preserve">op een </w:t>
            </w:r>
            <w:r>
              <w:rPr>
                <w:rFonts w:cs="Arial"/>
                <w:lang w:val="nl-NL"/>
              </w:rPr>
              <w:t xml:space="preserve">van de in artikel 78, § 2, 1°, van de wet </w:t>
            </w:r>
            <w:r w:rsidR="00190FFF">
              <w:rPr>
                <w:rFonts w:cs="Arial"/>
                <w:lang w:val="nl-NL"/>
              </w:rPr>
              <w:t xml:space="preserve">van 12 juni 1991 op het consumentenkrediet </w:t>
            </w:r>
            <w:r>
              <w:rPr>
                <w:rFonts w:cs="Arial"/>
                <w:lang w:val="nl-NL"/>
              </w:rPr>
              <w:t>vernoemde financiële of economische wetgevingen</w:t>
            </w:r>
            <w:r w:rsidR="00C72C41">
              <w:rPr>
                <w:rFonts w:cs="Arial"/>
                <w:lang w:val="nl-NL"/>
              </w:rPr>
              <w:t xml:space="preserve"> (zie b</w:t>
            </w:r>
            <w:r w:rsidR="00010C3F">
              <w:rPr>
                <w:rFonts w:cs="Arial"/>
                <w:lang w:val="nl-NL"/>
              </w:rPr>
              <w:t>ijlage II)</w:t>
            </w:r>
            <w:r>
              <w:rPr>
                <w:rFonts w:cs="Arial"/>
                <w:lang w:val="nl-NL"/>
              </w:rPr>
              <w:t xml:space="preserve"> die niet gevolgd werd door een eerherstel.</w:t>
            </w:r>
          </w:p>
          <w:p w:rsidR="002F2525" w:rsidRDefault="002F2525">
            <w:pPr>
              <w:rPr>
                <w:rFonts w:cs="Arial"/>
                <w:lang w:val="nl-NL"/>
              </w:rPr>
            </w:pPr>
          </w:p>
          <w:p w:rsidR="006E0C07" w:rsidRDefault="006E0C07">
            <w:pPr>
              <w:rPr>
                <w:rFonts w:cs="Arial"/>
                <w:lang w:val="nl-NL"/>
              </w:rPr>
            </w:pPr>
          </w:p>
          <w:p w:rsidR="005E728F" w:rsidRDefault="002F2525" w:rsidP="006E0C07">
            <w:pPr>
              <w:jc w:val="center"/>
              <w:rPr>
                <w:rFonts w:cs="Arial"/>
                <w:lang w:val="nl-NL"/>
              </w:rPr>
            </w:pPr>
            <w:r>
              <w:rPr>
                <w:rFonts w:cs="Arial"/>
                <w:lang w:val="nl-NL"/>
              </w:rPr>
              <w:t>Opgemaakt te, ........... de ........</w:t>
            </w:r>
          </w:p>
          <w:p w:rsidR="005E728F" w:rsidRDefault="005E728F">
            <w:pPr>
              <w:jc w:val="center"/>
              <w:rPr>
                <w:rFonts w:cs="Arial"/>
                <w:lang w:val="nl-NL"/>
              </w:rPr>
            </w:pPr>
          </w:p>
          <w:p w:rsidR="006E0C07" w:rsidRDefault="006E0C07">
            <w:pPr>
              <w:jc w:val="center"/>
              <w:rPr>
                <w:rFonts w:cs="Arial"/>
                <w:lang w:val="nl-NL"/>
              </w:rPr>
            </w:pPr>
          </w:p>
          <w:p w:rsidR="00085CBD" w:rsidRDefault="002F2525" w:rsidP="009E2EB2">
            <w:pPr>
              <w:jc w:val="center"/>
              <w:rPr>
                <w:rFonts w:cs="Arial"/>
                <w:lang w:val="nl-NL"/>
              </w:rPr>
            </w:pPr>
            <w:r>
              <w:rPr>
                <w:rFonts w:cs="Arial"/>
                <w:lang w:val="nl-NL"/>
              </w:rPr>
              <w:t>(handtekening)</w:t>
            </w:r>
          </w:p>
          <w:p w:rsidR="005E728F" w:rsidRDefault="005E728F" w:rsidP="005E728F">
            <w:pPr>
              <w:rPr>
                <w:rFonts w:cs="Arial"/>
                <w:lang w:val="nl-NL"/>
              </w:rPr>
            </w:pPr>
          </w:p>
          <w:p w:rsidR="006E0C07" w:rsidRDefault="006E0C07"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9A10E4" w:rsidRDefault="009A10E4" w:rsidP="005E728F">
            <w:pPr>
              <w:rPr>
                <w:rFonts w:cs="Arial"/>
                <w:lang w:val="nl-NL"/>
              </w:rPr>
            </w:pPr>
          </w:p>
          <w:p w:rsidR="00190FFF" w:rsidRDefault="00190FFF" w:rsidP="005E728F">
            <w:pPr>
              <w:rPr>
                <w:rFonts w:cs="Arial"/>
                <w:lang w:val="nl-NL"/>
              </w:rPr>
            </w:pPr>
          </w:p>
          <w:p w:rsidR="00190FFF" w:rsidRDefault="00190FFF" w:rsidP="005E728F">
            <w:pPr>
              <w:rPr>
                <w:rFonts w:cs="Arial"/>
                <w:lang w:val="nl-NL"/>
              </w:rPr>
            </w:pPr>
          </w:p>
          <w:p w:rsidR="009A10E4" w:rsidRDefault="009A10E4" w:rsidP="005E728F">
            <w:pPr>
              <w:rPr>
                <w:rFonts w:cs="Arial"/>
                <w:lang w:val="nl-NL"/>
              </w:rPr>
            </w:pPr>
          </w:p>
          <w:p w:rsidR="009A10E4" w:rsidRPr="009E2EB2" w:rsidRDefault="009A10E4" w:rsidP="005E728F">
            <w:pPr>
              <w:rPr>
                <w:rFonts w:cs="Arial"/>
                <w:lang w:val="nl-NL"/>
              </w:rPr>
            </w:pPr>
          </w:p>
          <w:p w:rsidR="002F2525" w:rsidRDefault="002F2525">
            <w:pPr>
              <w:rPr>
                <w:rFonts w:cs="Arial"/>
              </w:rPr>
            </w:pPr>
            <w:r>
              <w:rPr>
                <w:rFonts w:cs="Arial"/>
                <w:u w:val="single"/>
              </w:rPr>
              <w:t>BIJLAGE I</w:t>
            </w:r>
            <w:r>
              <w:rPr>
                <w:rFonts w:cs="Arial"/>
              </w:rPr>
              <w:t xml:space="preserve"> :</w:t>
            </w:r>
          </w:p>
          <w:p w:rsidR="002F2525" w:rsidRDefault="002F2525">
            <w:pPr>
              <w:rPr>
                <w:rFonts w:cs="Arial"/>
              </w:rPr>
            </w:pPr>
          </w:p>
          <w:p w:rsidR="002F2525" w:rsidRDefault="002F2525">
            <w:pPr>
              <w:rPr>
                <w:rFonts w:cs="Arial"/>
              </w:rPr>
            </w:pPr>
            <w:r>
              <w:rPr>
                <w:rFonts w:cs="Arial"/>
              </w:rPr>
              <w:t>Worden o.m. bedoeld : "De personen, die, tot een, zelfs voor</w:t>
            </w:r>
            <w:r>
              <w:rPr>
                <w:rFonts w:cs="Arial"/>
              </w:rPr>
              <w:softHyphen/>
              <w:t>waardelijke, vrijheidsstraf van ten minste één maand werden veroordeeld als dader van of medeplichtige aan een van de vol</w:t>
            </w:r>
            <w:r>
              <w:rPr>
                <w:rFonts w:cs="Arial"/>
              </w:rPr>
              <w:softHyphen/>
              <w:t>gende misdrijven of poging tot een van de volgende misdrij</w:t>
            </w:r>
            <w:r>
              <w:rPr>
                <w:rFonts w:cs="Arial"/>
              </w:rPr>
              <w:softHyphen/>
              <w:t>ven :</w:t>
            </w:r>
          </w:p>
          <w:p w:rsidR="002F2525" w:rsidRDefault="002F2525">
            <w:pPr>
              <w:rPr>
                <w:rFonts w:cs="Arial"/>
              </w:rPr>
            </w:pPr>
          </w:p>
          <w:p w:rsidR="002F2525" w:rsidRDefault="002F2525">
            <w:pPr>
              <w:rPr>
                <w:rFonts w:cs="Arial"/>
                <w:lang w:val="en-US"/>
              </w:rPr>
            </w:pPr>
            <w:r>
              <w:rPr>
                <w:rFonts w:cs="Arial"/>
                <w:lang w:val="en-US"/>
              </w:rPr>
              <w:t xml:space="preserve">a) </w:t>
            </w:r>
            <w:proofErr w:type="spellStart"/>
            <w:r>
              <w:rPr>
                <w:rFonts w:cs="Arial"/>
                <w:lang w:val="en-US"/>
              </w:rPr>
              <w:t>valse</w:t>
            </w:r>
            <w:proofErr w:type="spellEnd"/>
            <w:r>
              <w:rPr>
                <w:rFonts w:cs="Arial"/>
                <w:lang w:val="en-US"/>
              </w:rPr>
              <w:t xml:space="preserve"> munt;</w:t>
            </w:r>
          </w:p>
          <w:p w:rsidR="002F2525" w:rsidRDefault="002F2525">
            <w:pPr>
              <w:rPr>
                <w:rFonts w:cs="Arial"/>
                <w:lang w:val="en-US"/>
              </w:rPr>
            </w:pPr>
          </w:p>
          <w:p w:rsidR="002F2525" w:rsidRDefault="002F2525">
            <w:pPr>
              <w:rPr>
                <w:rFonts w:cs="Arial"/>
              </w:rPr>
            </w:pPr>
            <w:r>
              <w:rPr>
                <w:rFonts w:cs="Arial"/>
              </w:rPr>
              <w:t>b) namaking of vervalsing van openbare effecten, aandelen, schuldbrieven, rentecoupons en bij de wet toegelaten bankbil</w:t>
            </w:r>
            <w:r>
              <w:rPr>
                <w:rFonts w:cs="Arial"/>
              </w:rPr>
              <w:softHyphen/>
              <w:t>jetten;</w:t>
            </w:r>
          </w:p>
          <w:p w:rsidR="002F2525" w:rsidRDefault="002F2525">
            <w:pPr>
              <w:rPr>
                <w:rFonts w:cs="Arial"/>
              </w:rPr>
            </w:pPr>
          </w:p>
          <w:p w:rsidR="002F2525" w:rsidRDefault="002F2525">
            <w:pPr>
              <w:pStyle w:val="Koptekst"/>
              <w:tabs>
                <w:tab w:val="clear" w:pos="4320"/>
                <w:tab w:val="clear" w:pos="8640"/>
              </w:tabs>
              <w:spacing w:line="360" w:lineRule="auto"/>
              <w:rPr>
                <w:rFonts w:cs="Arial"/>
              </w:rPr>
            </w:pPr>
            <w:r>
              <w:rPr>
                <w:rFonts w:cs="Arial"/>
              </w:rPr>
              <w:t>c) namaking of vervalsing van stempels, zegels, keurijzers en merken;</w:t>
            </w:r>
          </w:p>
          <w:p w:rsidR="002F2525" w:rsidRDefault="002F2525">
            <w:pPr>
              <w:rPr>
                <w:rFonts w:cs="Arial"/>
              </w:rPr>
            </w:pPr>
          </w:p>
          <w:p w:rsidR="002F2525" w:rsidRDefault="002F2525">
            <w:pPr>
              <w:rPr>
                <w:rFonts w:cs="Arial"/>
              </w:rPr>
            </w:pPr>
            <w:r>
              <w:rPr>
                <w:rFonts w:cs="Arial"/>
              </w:rPr>
              <w:t>d) valsheid en gebruik van valsheid in geschriften;</w:t>
            </w:r>
          </w:p>
          <w:p w:rsidR="002F2525" w:rsidRDefault="002F2525">
            <w:pPr>
              <w:rPr>
                <w:rFonts w:cs="Arial"/>
              </w:rPr>
            </w:pPr>
          </w:p>
          <w:p w:rsidR="002F2525" w:rsidRDefault="002F2525">
            <w:pPr>
              <w:rPr>
                <w:rFonts w:cs="Arial"/>
              </w:rPr>
            </w:pPr>
            <w:r>
              <w:rPr>
                <w:rFonts w:cs="Arial"/>
              </w:rPr>
              <w:t>e) omkoping van ambtenaren of knevelarij;</w:t>
            </w:r>
          </w:p>
          <w:p w:rsidR="002F2525" w:rsidRDefault="002F2525">
            <w:pPr>
              <w:rPr>
                <w:rFonts w:cs="Arial"/>
              </w:rPr>
            </w:pPr>
          </w:p>
          <w:p w:rsidR="002F2525" w:rsidRDefault="002F2525">
            <w:pPr>
              <w:rPr>
                <w:rFonts w:cs="Arial"/>
              </w:rPr>
            </w:pPr>
            <w:r>
              <w:rPr>
                <w:rFonts w:cs="Arial"/>
              </w:rPr>
              <w:t>f) diefstal, afpersing, verduistering of misbruik van vertrou</w:t>
            </w:r>
            <w:r>
              <w:rPr>
                <w:rFonts w:cs="Arial"/>
              </w:rPr>
              <w:softHyphen/>
              <w:t>wen, oplichting of heling;</w:t>
            </w:r>
          </w:p>
          <w:p w:rsidR="002F2525" w:rsidRDefault="002F2525">
            <w:pPr>
              <w:rPr>
                <w:rFonts w:cs="Arial"/>
              </w:rPr>
            </w:pPr>
          </w:p>
          <w:p w:rsidR="002F2525" w:rsidRDefault="002F2525">
            <w:pPr>
              <w:jc w:val="both"/>
              <w:rPr>
                <w:rFonts w:cs="Arial"/>
              </w:rPr>
            </w:pPr>
            <w:r>
              <w:rPr>
                <w:rFonts w:cs="Arial"/>
              </w:rPr>
              <w:t>g) eenvoudige of bedrieglijke bankbreuk, fictief in omloop brengen van handelseffecten of inbreuk op de bepalingen be</w:t>
            </w:r>
            <w:r>
              <w:rPr>
                <w:rFonts w:cs="Arial"/>
              </w:rPr>
              <w:softHyphen/>
              <w:t>tref</w:t>
            </w:r>
            <w:r>
              <w:rPr>
                <w:rFonts w:cs="Arial"/>
              </w:rPr>
              <w:softHyphen/>
              <w:t>fende de fondsbezorging van cheques of andere titels tot een contante betaling of betaling op zicht op beschikbare gelden".</w:t>
            </w:r>
          </w:p>
          <w:p w:rsidR="002F2525" w:rsidRDefault="002F2525">
            <w:pPr>
              <w:rPr>
                <w:rFonts w:cs="Arial"/>
              </w:rPr>
            </w:pPr>
            <w:r>
              <w:rPr>
                <w:rFonts w:cs="Arial"/>
              </w:rPr>
              <w:tab/>
            </w:r>
          </w:p>
          <w:p w:rsidR="002F2525" w:rsidRDefault="002F2525">
            <w:pPr>
              <w:rPr>
                <w:rFonts w:cs="Arial"/>
              </w:rPr>
            </w:pPr>
            <w:r>
              <w:rPr>
                <w:rFonts w:cs="Arial"/>
              </w:rPr>
              <w:t>h) overtreding van de verbodsbepalingen van de artikelen 182, 183 of 184 van de wet van 4 december 1990 op de financiële transacties en de financiële markten;</w:t>
            </w:r>
          </w:p>
          <w:p w:rsidR="002F2525" w:rsidRDefault="002F2525">
            <w:pPr>
              <w:rPr>
                <w:rFonts w:cs="Arial"/>
              </w:rPr>
            </w:pPr>
            <w:r>
              <w:rPr>
                <w:rFonts w:cs="Arial"/>
              </w:rPr>
              <w:tab/>
            </w:r>
          </w:p>
          <w:p w:rsidR="002F2525" w:rsidRDefault="002F2525">
            <w:pPr>
              <w:jc w:val="both"/>
              <w:rPr>
                <w:rFonts w:cs="Arial"/>
              </w:rPr>
            </w:pPr>
            <w:r>
              <w:rPr>
                <w:rFonts w:cs="Arial"/>
              </w:rPr>
              <w:t xml:space="preserve">i)  overtreding van de strafbepalingen die zijn vastgesteld in hoofdstuk XXIV van de algemene wet inzake douane en accijnzen, hoofdstuk XII van het Wetboek der registratie-, hypotheek- en griffierechten, de artikelen 133 tot 133octies van het Wetboek der successierechten, de artikelen 66 tot 67octies van het Wetboek van zegelrechten,de artikelen 207 tot 207octies van het Wetboek van met het zegel gelijkgestelde taksen, de artikelen 449 tot 453 van het Wetboek van de inkomstenbelastingen 1992, artikel 2, derde lid, van het Wetboek van de met de inkomstenbelastingen gelijkgestelde belastingen, de artikelen 73 tot 73octies van het Wetboek van de belasting over de toegevoegde waarde en de artikelen 395 tot 398 van de gewone wet van 16 juli 1993 tot </w:t>
            </w:r>
            <w:proofErr w:type="spellStart"/>
            <w:r>
              <w:rPr>
                <w:rFonts w:cs="Arial"/>
              </w:rPr>
              <w:t>vervollediging</w:t>
            </w:r>
            <w:proofErr w:type="spellEnd"/>
            <w:r>
              <w:rPr>
                <w:rFonts w:cs="Arial"/>
              </w:rPr>
              <w:t xml:space="preserve"> van de federale staatsstructuur.</w:t>
            </w:r>
          </w:p>
          <w:p w:rsidR="002F2525" w:rsidRDefault="002F2525">
            <w:pPr>
              <w:rPr>
                <w:rFonts w:cs="Arial"/>
              </w:rPr>
            </w:pPr>
          </w:p>
          <w:p w:rsidR="002F2525" w:rsidRDefault="002F2525">
            <w:pPr>
              <w:rPr>
                <w:rFonts w:cs="Arial"/>
                <w:u w:val="single"/>
              </w:rPr>
            </w:pPr>
          </w:p>
          <w:p w:rsidR="002F2525" w:rsidRDefault="002F2525">
            <w:pPr>
              <w:rPr>
                <w:rFonts w:cs="Arial"/>
                <w:u w:val="single"/>
              </w:rPr>
            </w:pPr>
          </w:p>
          <w:p w:rsidR="002F2525" w:rsidRDefault="002F2525">
            <w:pPr>
              <w:rPr>
                <w:rFonts w:cs="Arial"/>
                <w:u w:val="single"/>
              </w:rPr>
            </w:pPr>
          </w:p>
          <w:p w:rsidR="002F2525" w:rsidRDefault="002F2525">
            <w:pPr>
              <w:rPr>
                <w:rFonts w:cs="Arial"/>
                <w:u w:val="single"/>
              </w:rPr>
            </w:pPr>
          </w:p>
          <w:p w:rsidR="002F2525" w:rsidRDefault="002F2525">
            <w:pPr>
              <w:rPr>
                <w:rFonts w:cs="Arial"/>
                <w:u w:val="single"/>
              </w:rPr>
            </w:pPr>
          </w:p>
          <w:p w:rsidR="002F2525" w:rsidRDefault="002F2525">
            <w:pPr>
              <w:rPr>
                <w:rFonts w:cs="Arial"/>
                <w:u w:val="single"/>
              </w:rPr>
            </w:pPr>
          </w:p>
          <w:p w:rsidR="002F2525" w:rsidRDefault="002F2525">
            <w:pPr>
              <w:rPr>
                <w:rFonts w:cs="Arial"/>
                <w:u w:val="single"/>
              </w:rPr>
            </w:pPr>
          </w:p>
          <w:p w:rsidR="002F2525" w:rsidRDefault="002F2525">
            <w:pPr>
              <w:rPr>
                <w:rFonts w:cs="Arial"/>
                <w:u w:val="single"/>
              </w:rPr>
            </w:pPr>
          </w:p>
          <w:p w:rsidR="002F2525" w:rsidRDefault="002F2525">
            <w:pPr>
              <w:rPr>
                <w:rFonts w:cs="Arial"/>
                <w:u w:val="single"/>
              </w:rPr>
            </w:pPr>
          </w:p>
          <w:p w:rsidR="000B497D" w:rsidRDefault="000B497D">
            <w:pPr>
              <w:rPr>
                <w:rFonts w:cs="Arial"/>
                <w:u w:val="single"/>
              </w:rPr>
            </w:pPr>
          </w:p>
          <w:p w:rsidR="000B497D" w:rsidRDefault="000B497D">
            <w:pPr>
              <w:rPr>
                <w:rFonts w:cs="Arial"/>
                <w:u w:val="single"/>
              </w:rPr>
            </w:pPr>
          </w:p>
          <w:p w:rsidR="000B497D" w:rsidRDefault="000B497D">
            <w:pPr>
              <w:rPr>
                <w:rFonts w:cs="Arial"/>
                <w:u w:val="single"/>
              </w:rPr>
            </w:pPr>
          </w:p>
          <w:p w:rsidR="002F2525" w:rsidRDefault="002F2525">
            <w:pPr>
              <w:rPr>
                <w:rFonts w:cs="Arial"/>
                <w:u w:val="single"/>
              </w:rPr>
            </w:pPr>
          </w:p>
          <w:p w:rsidR="002F2525" w:rsidRDefault="002F2525">
            <w:pPr>
              <w:jc w:val="both"/>
              <w:rPr>
                <w:rFonts w:cs="Arial"/>
              </w:rPr>
            </w:pPr>
            <w:r>
              <w:rPr>
                <w:rFonts w:cs="Arial"/>
                <w:u w:val="single"/>
              </w:rPr>
              <w:t>BIJLAGE II</w:t>
            </w:r>
            <w:r>
              <w:rPr>
                <w:rFonts w:cs="Arial"/>
              </w:rPr>
              <w:t xml:space="preserve"> :</w:t>
            </w:r>
          </w:p>
          <w:p w:rsidR="002F2525" w:rsidRDefault="002F2525">
            <w:pPr>
              <w:jc w:val="both"/>
              <w:rPr>
                <w:rFonts w:cs="Arial"/>
              </w:rPr>
            </w:pPr>
          </w:p>
          <w:p w:rsidR="002F2525" w:rsidRDefault="002F2525">
            <w:pPr>
              <w:jc w:val="both"/>
              <w:rPr>
                <w:rFonts w:cs="Arial"/>
              </w:rPr>
            </w:pPr>
            <w:r>
              <w:rPr>
                <w:rFonts w:cs="Arial"/>
              </w:rPr>
              <w:t>Lijst van de in artikel 494 van het Strafwetboek en artikel 78, § 2, 1° van de wet van 12 juni 1991 op het consumentenkrediet vermelde inbreuken :</w:t>
            </w:r>
          </w:p>
          <w:p w:rsidR="002F2525" w:rsidRDefault="002F2525">
            <w:pPr>
              <w:jc w:val="both"/>
              <w:rPr>
                <w:rFonts w:cs="Arial"/>
              </w:rPr>
            </w:pPr>
          </w:p>
          <w:p w:rsidR="002F2525" w:rsidRDefault="002F2525">
            <w:pPr>
              <w:jc w:val="both"/>
              <w:rPr>
                <w:rFonts w:cs="Arial"/>
              </w:rPr>
            </w:pPr>
            <w:r>
              <w:rPr>
                <w:rFonts w:cs="Arial"/>
              </w:rPr>
              <w:t>a)  titels V en IX van boek I van het Wetboek van Koophandel;</w:t>
            </w:r>
          </w:p>
          <w:p w:rsidR="002F2525" w:rsidRDefault="002F2525">
            <w:pPr>
              <w:jc w:val="both"/>
              <w:rPr>
                <w:rFonts w:cs="Arial"/>
              </w:rPr>
            </w:pPr>
          </w:p>
          <w:p w:rsidR="002F2525" w:rsidRDefault="002F2525">
            <w:pPr>
              <w:jc w:val="both"/>
              <w:rPr>
                <w:rFonts w:cs="Arial"/>
              </w:rPr>
            </w:pPr>
            <w:r>
              <w:rPr>
                <w:rFonts w:cs="Arial"/>
              </w:rPr>
              <w:t>b) koninklijk besluit nr. 41 van 15 december 1934 tot bescher</w:t>
            </w:r>
            <w:r>
              <w:rPr>
                <w:rFonts w:cs="Arial"/>
              </w:rPr>
              <w:softHyphen/>
              <w:t>ming van het gespaard vermogen door reglementering van de ver</w:t>
            </w:r>
            <w:r>
              <w:rPr>
                <w:rFonts w:cs="Arial"/>
              </w:rPr>
              <w:softHyphen/>
              <w:t>koop op afbetaling van premie-effecten;</w:t>
            </w:r>
          </w:p>
          <w:p w:rsidR="002F2525" w:rsidRDefault="002F2525">
            <w:pPr>
              <w:jc w:val="both"/>
              <w:rPr>
                <w:rFonts w:cs="Arial"/>
              </w:rPr>
            </w:pPr>
          </w:p>
          <w:p w:rsidR="002F2525" w:rsidRDefault="002F2525">
            <w:pPr>
              <w:jc w:val="both"/>
              <w:rPr>
                <w:rFonts w:cs="Arial"/>
              </w:rPr>
            </w:pPr>
            <w:r>
              <w:rPr>
                <w:rFonts w:cs="Arial"/>
              </w:rPr>
              <w:t>c) koninklijk besluit nr. 43 van 15 december 1934 betreffende de controle op de kapitalisatieondernemingen;</w:t>
            </w:r>
          </w:p>
          <w:p w:rsidR="002F2525" w:rsidRDefault="002F2525">
            <w:pPr>
              <w:jc w:val="both"/>
              <w:rPr>
                <w:rFonts w:cs="Arial"/>
              </w:rPr>
            </w:pPr>
          </w:p>
          <w:p w:rsidR="002F2525" w:rsidRDefault="002F2525">
            <w:pPr>
              <w:jc w:val="both"/>
              <w:rPr>
                <w:rFonts w:cs="Arial"/>
              </w:rPr>
            </w:pPr>
            <w:r>
              <w:rPr>
                <w:rFonts w:cs="Arial"/>
              </w:rPr>
              <w:t>d) koninklijk besluit nr. 185 van 9 juli 1935 op de bankcon</w:t>
            </w:r>
            <w:r>
              <w:rPr>
                <w:rFonts w:cs="Arial"/>
              </w:rPr>
              <w:softHyphen/>
              <w:t>trole en het uitgifteregime voor titels en effecten;</w:t>
            </w:r>
          </w:p>
          <w:p w:rsidR="002F2525" w:rsidRDefault="002F2525">
            <w:pPr>
              <w:jc w:val="both"/>
              <w:rPr>
                <w:rFonts w:cs="Arial"/>
              </w:rPr>
            </w:pPr>
          </w:p>
          <w:p w:rsidR="002F2525" w:rsidRDefault="002F2525">
            <w:pPr>
              <w:jc w:val="both"/>
              <w:rPr>
                <w:rFonts w:cs="Arial"/>
              </w:rPr>
            </w:pPr>
            <w:r>
              <w:rPr>
                <w:rFonts w:cs="Arial"/>
              </w:rPr>
              <w:t>e) koninklijk besluit nr. 225 van 7 januari 1936 tot reglemen</w:t>
            </w:r>
            <w:r>
              <w:rPr>
                <w:rFonts w:cs="Arial"/>
              </w:rPr>
              <w:softHyphen/>
              <w:t>tering van de hypothecaire leningen en tot inrichting van de controle op de ondernemingen van hypothecaire leningen;</w:t>
            </w:r>
          </w:p>
          <w:p w:rsidR="002F2525" w:rsidRDefault="002F2525">
            <w:pPr>
              <w:jc w:val="both"/>
              <w:rPr>
                <w:rFonts w:cs="Arial"/>
              </w:rPr>
            </w:pPr>
          </w:p>
          <w:p w:rsidR="002F2525" w:rsidRDefault="002F2525">
            <w:pPr>
              <w:jc w:val="both"/>
              <w:rPr>
                <w:rFonts w:cs="Arial"/>
              </w:rPr>
            </w:pPr>
            <w:r>
              <w:rPr>
                <w:rFonts w:cs="Arial"/>
              </w:rPr>
              <w:t xml:space="preserve">f)  koninklijk besluit nr. 71 van 30 november 1939 betreffende het leuren met roerende waarden en </w:t>
            </w:r>
            <w:proofErr w:type="spellStart"/>
            <w:r>
              <w:rPr>
                <w:rFonts w:cs="Arial"/>
              </w:rPr>
              <w:t>demarchage</w:t>
            </w:r>
            <w:proofErr w:type="spellEnd"/>
            <w:r>
              <w:rPr>
                <w:rFonts w:cs="Arial"/>
              </w:rPr>
              <w:t xml:space="preserve"> met roerende waarden en goederen of eetwaren;</w:t>
            </w:r>
          </w:p>
          <w:p w:rsidR="002F2525" w:rsidRDefault="002F2525">
            <w:pPr>
              <w:jc w:val="both"/>
              <w:rPr>
                <w:rFonts w:cs="Arial"/>
              </w:rPr>
            </w:pPr>
          </w:p>
          <w:p w:rsidR="002F2525" w:rsidRDefault="002F2525">
            <w:pPr>
              <w:jc w:val="both"/>
              <w:rPr>
                <w:rFonts w:cs="Arial"/>
              </w:rPr>
            </w:pPr>
            <w:r>
              <w:rPr>
                <w:rFonts w:cs="Arial"/>
              </w:rPr>
              <w:t>g) koninklijk besluit nr. 72 van 30 november 1939 tot regeling van de beurzen voor de termijnhandel in goederen en waren, van het beroep van de makelaars en tussenpersonen die zich met deze termijnhandel inlaten en van het regime van de exceptie van spel;</w:t>
            </w:r>
          </w:p>
          <w:p w:rsidR="002F2525" w:rsidRDefault="002F2525">
            <w:pPr>
              <w:jc w:val="both"/>
              <w:rPr>
                <w:rFonts w:cs="Arial"/>
              </w:rPr>
            </w:pPr>
          </w:p>
          <w:p w:rsidR="002F2525" w:rsidRDefault="002F2525">
            <w:pPr>
              <w:jc w:val="both"/>
              <w:rPr>
                <w:rFonts w:cs="Arial"/>
              </w:rPr>
            </w:pPr>
            <w:r>
              <w:rPr>
                <w:rFonts w:cs="Arial"/>
              </w:rPr>
              <w:t>h) wet van 22 januari 1945 betreffende de economische regle</w:t>
            </w:r>
            <w:r>
              <w:rPr>
                <w:rFonts w:cs="Arial"/>
              </w:rPr>
              <w:softHyphen/>
              <w:t>mentering der prijzen;</w:t>
            </w:r>
          </w:p>
          <w:p w:rsidR="002F2525" w:rsidRDefault="002F2525">
            <w:pPr>
              <w:jc w:val="both"/>
              <w:rPr>
                <w:rFonts w:cs="Arial"/>
              </w:rPr>
            </w:pPr>
          </w:p>
          <w:p w:rsidR="002F2525" w:rsidRDefault="002F2525">
            <w:pPr>
              <w:jc w:val="both"/>
              <w:rPr>
                <w:rFonts w:cs="Arial"/>
              </w:rPr>
            </w:pPr>
            <w:r>
              <w:rPr>
                <w:rFonts w:cs="Arial"/>
              </w:rPr>
              <w:t>i) wet van 27 maart 1957 betreffende de gemeenschappelijke beleggingsfondsen;</w:t>
            </w:r>
          </w:p>
          <w:p w:rsidR="002F2525" w:rsidRDefault="002F2525">
            <w:pPr>
              <w:jc w:val="both"/>
              <w:rPr>
                <w:rFonts w:cs="Arial"/>
              </w:rPr>
            </w:pPr>
          </w:p>
          <w:p w:rsidR="002F2525" w:rsidRDefault="002F2525">
            <w:pPr>
              <w:jc w:val="both"/>
              <w:rPr>
                <w:rFonts w:cs="Arial"/>
              </w:rPr>
            </w:pPr>
            <w:r>
              <w:rPr>
                <w:rFonts w:cs="Arial"/>
              </w:rPr>
              <w:t>j) wet van 9 juli 1957 tot regeling van de verkoop op afbeta</w:t>
            </w:r>
            <w:r>
              <w:rPr>
                <w:rFonts w:cs="Arial"/>
              </w:rPr>
              <w:softHyphen/>
              <w:t>ling en van zijn financiering;</w:t>
            </w:r>
          </w:p>
          <w:p w:rsidR="002F2525" w:rsidRDefault="002F2525">
            <w:pPr>
              <w:jc w:val="both"/>
              <w:rPr>
                <w:rFonts w:cs="Arial"/>
              </w:rPr>
            </w:pPr>
          </w:p>
          <w:p w:rsidR="002F2525" w:rsidRDefault="002F2525">
            <w:pPr>
              <w:jc w:val="both"/>
              <w:rPr>
                <w:rFonts w:cs="Arial"/>
              </w:rPr>
            </w:pPr>
            <w:r>
              <w:rPr>
                <w:rFonts w:cs="Arial"/>
              </w:rPr>
              <w:t>k) wet van 10 juni 1964 op het openbaar aantrekken van spaar</w:t>
            </w:r>
            <w:r>
              <w:rPr>
                <w:rFonts w:cs="Arial"/>
              </w:rPr>
              <w:softHyphen/>
              <w:t>gelden;</w:t>
            </w:r>
          </w:p>
          <w:p w:rsidR="002F2525" w:rsidRDefault="002F2525">
            <w:pPr>
              <w:jc w:val="both"/>
              <w:rPr>
                <w:rFonts w:cs="Arial"/>
              </w:rPr>
            </w:pPr>
          </w:p>
          <w:p w:rsidR="002F2525" w:rsidRDefault="002F2525">
            <w:pPr>
              <w:jc w:val="both"/>
              <w:rPr>
                <w:rFonts w:cs="Arial"/>
              </w:rPr>
            </w:pPr>
            <w:r>
              <w:rPr>
                <w:rFonts w:cs="Arial"/>
              </w:rPr>
              <w:t>l) koninklijk besluit van 23 juni 1967 tot coördinatie van de bepalingen betreffende de controle op de private spaarkassen;</w:t>
            </w:r>
          </w:p>
          <w:p w:rsidR="002F2525" w:rsidRDefault="002F2525">
            <w:pPr>
              <w:jc w:val="both"/>
              <w:rPr>
                <w:rFonts w:cs="Arial"/>
              </w:rPr>
            </w:pPr>
            <w:r>
              <w:rPr>
                <w:rFonts w:cs="Arial"/>
              </w:rPr>
              <w:t xml:space="preserve"> </w:t>
            </w:r>
            <w:r>
              <w:rPr>
                <w:rFonts w:cs="Arial"/>
              </w:rPr>
              <w:tab/>
            </w:r>
          </w:p>
          <w:p w:rsidR="002F2525" w:rsidRDefault="002F2525">
            <w:pPr>
              <w:jc w:val="both"/>
              <w:rPr>
                <w:rFonts w:cs="Arial"/>
              </w:rPr>
            </w:pPr>
            <w:r>
              <w:rPr>
                <w:rFonts w:cs="Arial"/>
              </w:rPr>
              <w:t>m) koninklijk besluit nr. 64 van 10 november 1967 tot regeling van het statuut van de portefeuillemaatschappijen;</w:t>
            </w:r>
          </w:p>
          <w:p w:rsidR="002F2525" w:rsidRDefault="002F2525">
            <w:pPr>
              <w:jc w:val="both"/>
              <w:rPr>
                <w:rFonts w:cs="Arial"/>
              </w:rPr>
            </w:pPr>
          </w:p>
          <w:p w:rsidR="002F2525" w:rsidRDefault="002F2525">
            <w:pPr>
              <w:jc w:val="both"/>
              <w:rPr>
                <w:rFonts w:cs="Arial"/>
              </w:rPr>
            </w:pPr>
            <w:r>
              <w:rPr>
                <w:rFonts w:cs="Arial"/>
              </w:rPr>
              <w:t>n) wet van 14 juli 1971 betreffende de handelspraktijken (opgeheven en vervangen door de wet van 14 juli 1991 betreffende de handelspraktijken en de voorlichting en de bescherming van de consument);</w:t>
            </w:r>
          </w:p>
          <w:p w:rsidR="002F2525" w:rsidRDefault="002F2525">
            <w:pPr>
              <w:jc w:val="both"/>
              <w:rPr>
                <w:rFonts w:cs="Arial"/>
              </w:rPr>
            </w:pPr>
          </w:p>
          <w:p w:rsidR="002F2525" w:rsidRDefault="002F2525">
            <w:pPr>
              <w:jc w:val="both"/>
              <w:rPr>
                <w:rFonts w:cs="Arial"/>
              </w:rPr>
            </w:pPr>
            <w:r>
              <w:rPr>
                <w:rFonts w:cs="Arial"/>
              </w:rPr>
              <w:lastRenderedPageBreak/>
              <w:t>o) wet van 30 juni 1975 betreffende het statuut van de banken, de private spaarkassen en bepaalde andere financiële instel</w:t>
            </w:r>
            <w:r>
              <w:rPr>
                <w:rFonts w:cs="Arial"/>
              </w:rPr>
              <w:softHyphen/>
              <w:t>lingen;</w:t>
            </w:r>
          </w:p>
          <w:p w:rsidR="002F2525" w:rsidRDefault="002F2525">
            <w:pPr>
              <w:jc w:val="both"/>
              <w:rPr>
                <w:rFonts w:cs="Arial"/>
              </w:rPr>
            </w:pPr>
            <w:r>
              <w:rPr>
                <w:rFonts w:cs="Arial"/>
              </w:rPr>
              <w:tab/>
            </w:r>
          </w:p>
          <w:p w:rsidR="002F2525" w:rsidRDefault="002F2525">
            <w:pPr>
              <w:jc w:val="both"/>
              <w:rPr>
                <w:rFonts w:cs="Arial"/>
              </w:rPr>
            </w:pPr>
            <w:r>
              <w:rPr>
                <w:rFonts w:cs="Arial"/>
              </w:rPr>
              <w:t>p) wet van 9 juli 1975 betreffende de controle der verzeke</w:t>
            </w:r>
            <w:r>
              <w:rPr>
                <w:rFonts w:cs="Arial"/>
              </w:rPr>
              <w:softHyphen/>
              <w:t>rings</w:t>
            </w:r>
            <w:r>
              <w:rPr>
                <w:rFonts w:cs="Arial"/>
              </w:rPr>
              <w:softHyphen/>
              <w:t>ondernemingen;</w:t>
            </w:r>
          </w:p>
          <w:p w:rsidR="002F2525" w:rsidRDefault="002F2525">
            <w:pPr>
              <w:jc w:val="both"/>
              <w:rPr>
                <w:rFonts w:cs="Arial"/>
              </w:rPr>
            </w:pPr>
          </w:p>
          <w:p w:rsidR="002F2525" w:rsidRDefault="002F2525">
            <w:pPr>
              <w:jc w:val="both"/>
              <w:rPr>
                <w:rFonts w:cs="Arial"/>
              </w:rPr>
            </w:pPr>
          </w:p>
          <w:p w:rsidR="002F2525" w:rsidRDefault="002F2525">
            <w:pPr>
              <w:jc w:val="both"/>
              <w:rPr>
                <w:rFonts w:cs="Arial"/>
              </w:rPr>
            </w:pPr>
            <w:r>
              <w:rPr>
                <w:rFonts w:cs="Arial"/>
              </w:rPr>
              <w:t>q) wet van 17 juli 1975 op de boekhouding en de jaarrekening van de ondernemingen;</w:t>
            </w:r>
          </w:p>
          <w:p w:rsidR="002F2525" w:rsidRDefault="002F2525">
            <w:pPr>
              <w:jc w:val="both"/>
              <w:rPr>
                <w:rFonts w:cs="Arial"/>
              </w:rPr>
            </w:pPr>
          </w:p>
          <w:p w:rsidR="002F2525" w:rsidRDefault="002F2525">
            <w:pPr>
              <w:jc w:val="both"/>
              <w:rPr>
                <w:rFonts w:cs="Arial"/>
              </w:rPr>
            </w:pPr>
            <w:r>
              <w:rPr>
                <w:rFonts w:cs="Arial"/>
              </w:rPr>
              <w:t>r)  wet van 13 augustus 1986 betreffende de uitoefening van ambulante activiteiten (opgeheven en vervangen door de wet van 25 juni 1993 betreffende de uitoefening van ambulante activiteiten en de organisatie van openbare markten);</w:t>
            </w:r>
          </w:p>
          <w:p w:rsidR="002F2525" w:rsidRDefault="002F2525">
            <w:pPr>
              <w:jc w:val="both"/>
              <w:rPr>
                <w:rFonts w:cs="Arial"/>
              </w:rPr>
            </w:pPr>
          </w:p>
          <w:p w:rsidR="002F2525" w:rsidRDefault="002F2525">
            <w:pPr>
              <w:jc w:val="both"/>
              <w:rPr>
                <w:rFonts w:cs="Arial"/>
              </w:rPr>
            </w:pPr>
            <w:r>
              <w:rPr>
                <w:rFonts w:cs="Arial"/>
              </w:rPr>
              <w:t>s)  wet van 2 maart 1989 op de openbaarmaking van belangrijke deelnemingen in ter beurze genoteerde vennootschappen en tot reglementering van de openbare overnameaanbiedingen;</w:t>
            </w:r>
          </w:p>
          <w:p w:rsidR="002F2525" w:rsidRDefault="002F2525">
            <w:pPr>
              <w:jc w:val="both"/>
              <w:rPr>
                <w:rFonts w:cs="Arial"/>
              </w:rPr>
            </w:pPr>
          </w:p>
          <w:p w:rsidR="002F2525" w:rsidRDefault="002F2525">
            <w:pPr>
              <w:jc w:val="both"/>
              <w:rPr>
                <w:rFonts w:cs="Arial"/>
              </w:rPr>
            </w:pPr>
            <w:r>
              <w:rPr>
                <w:rFonts w:cs="Arial"/>
              </w:rPr>
              <w:t>t)  wet van 4 december 1990 op de financiële transacties en de financiële markten;</w:t>
            </w:r>
          </w:p>
          <w:p w:rsidR="002F2525" w:rsidRDefault="002F2525">
            <w:pPr>
              <w:jc w:val="both"/>
              <w:rPr>
                <w:rFonts w:cs="Arial"/>
              </w:rPr>
            </w:pPr>
          </w:p>
          <w:p w:rsidR="002F2525" w:rsidRDefault="002F2525">
            <w:pPr>
              <w:jc w:val="both"/>
              <w:rPr>
                <w:rFonts w:cs="Arial"/>
              </w:rPr>
            </w:pPr>
            <w:r>
              <w:rPr>
                <w:rFonts w:cs="Arial"/>
              </w:rPr>
              <w:t>u) wet van 14 juli 1991 betreffende de handelspraktijken en de voorlichting en de bescherming van de consument;</w:t>
            </w:r>
          </w:p>
          <w:p w:rsidR="002F2525" w:rsidRDefault="002F2525">
            <w:pPr>
              <w:jc w:val="both"/>
              <w:rPr>
                <w:rFonts w:cs="Arial"/>
              </w:rPr>
            </w:pPr>
          </w:p>
          <w:p w:rsidR="002F2525" w:rsidRDefault="002F2525">
            <w:pPr>
              <w:jc w:val="both"/>
              <w:rPr>
                <w:rFonts w:cs="Arial"/>
              </w:rPr>
            </w:pPr>
            <w:r>
              <w:rPr>
                <w:rFonts w:cs="Arial"/>
              </w:rPr>
              <w:t>v)  wet van 25 juni 1992 op de landverzekeringsovereenkomst;</w:t>
            </w:r>
          </w:p>
          <w:p w:rsidR="002F2525" w:rsidRDefault="002F2525">
            <w:pPr>
              <w:jc w:val="both"/>
              <w:rPr>
                <w:rFonts w:cs="Arial"/>
              </w:rPr>
            </w:pPr>
          </w:p>
          <w:p w:rsidR="002F2525" w:rsidRDefault="002F2525">
            <w:pPr>
              <w:jc w:val="both"/>
              <w:rPr>
                <w:rFonts w:cs="Arial"/>
              </w:rPr>
            </w:pPr>
            <w:r>
              <w:rPr>
                <w:rFonts w:cs="Arial"/>
              </w:rPr>
              <w:t>w)  wet van 4 augustus 1992 op het hypothecair krediet;</w:t>
            </w:r>
          </w:p>
          <w:p w:rsidR="002F2525" w:rsidRDefault="002F2525">
            <w:pPr>
              <w:jc w:val="both"/>
              <w:rPr>
                <w:rFonts w:cs="Arial"/>
              </w:rPr>
            </w:pPr>
          </w:p>
          <w:p w:rsidR="002F2525" w:rsidRDefault="002F2525">
            <w:pPr>
              <w:jc w:val="both"/>
              <w:rPr>
                <w:rFonts w:cs="Arial"/>
              </w:rPr>
            </w:pPr>
            <w:r>
              <w:rPr>
                <w:rFonts w:cs="Arial"/>
              </w:rPr>
              <w:t>x)  wet van 11 januari 1993 tot voorkoming van het gebruik van het financiële stelsel voor het witwassen van geld;</w:t>
            </w:r>
          </w:p>
          <w:p w:rsidR="002F2525" w:rsidRDefault="002F2525">
            <w:pPr>
              <w:jc w:val="both"/>
              <w:rPr>
                <w:rFonts w:cs="Arial"/>
              </w:rPr>
            </w:pPr>
          </w:p>
          <w:p w:rsidR="002F2525" w:rsidRDefault="002F2525">
            <w:pPr>
              <w:jc w:val="both"/>
              <w:rPr>
                <w:rFonts w:cs="Arial"/>
              </w:rPr>
            </w:pPr>
            <w:r>
              <w:rPr>
                <w:rFonts w:cs="Arial"/>
              </w:rPr>
              <w:t>y)  wet van 22 maart 1993 op het statuut van en het toezicht op de kredietinstellingen;</w:t>
            </w:r>
          </w:p>
          <w:p w:rsidR="002F2525" w:rsidRDefault="002F2525">
            <w:pPr>
              <w:jc w:val="both"/>
              <w:rPr>
                <w:rFonts w:cs="Arial"/>
              </w:rPr>
            </w:pPr>
          </w:p>
          <w:p w:rsidR="002F2525" w:rsidRDefault="002F2525">
            <w:pPr>
              <w:jc w:val="both"/>
              <w:rPr>
                <w:rFonts w:cs="Arial"/>
              </w:rPr>
            </w:pPr>
            <w:r>
              <w:rPr>
                <w:rFonts w:cs="Arial"/>
              </w:rPr>
              <w:t>z)  wet van 25 juni 1993 betreffende de uitoefening van ambulante activiteiten en de organisatie van openbare markten;</w:t>
            </w:r>
          </w:p>
          <w:p w:rsidR="002F2525" w:rsidRDefault="002F2525">
            <w:pPr>
              <w:jc w:val="both"/>
              <w:rPr>
                <w:rFonts w:cs="Arial"/>
              </w:rPr>
            </w:pPr>
          </w:p>
          <w:p w:rsidR="002F2525" w:rsidRDefault="002F2525">
            <w:pPr>
              <w:jc w:val="both"/>
              <w:rPr>
                <w:rFonts w:cs="Arial"/>
              </w:rPr>
            </w:pPr>
            <w:proofErr w:type="spellStart"/>
            <w:r>
              <w:rPr>
                <w:rFonts w:cs="Arial"/>
              </w:rPr>
              <w:t>aa</w:t>
            </w:r>
            <w:proofErr w:type="spellEnd"/>
            <w:r>
              <w:rPr>
                <w:rFonts w:cs="Arial"/>
              </w:rPr>
              <w:t>)  wet van 27 maart 1995 betreffende de verzekeringsbemiddeling en de distributie van de verzekeringen;</w:t>
            </w:r>
          </w:p>
          <w:p w:rsidR="002F2525" w:rsidRDefault="002F2525">
            <w:pPr>
              <w:jc w:val="both"/>
              <w:rPr>
                <w:rFonts w:cs="Arial"/>
              </w:rPr>
            </w:pPr>
          </w:p>
          <w:p w:rsidR="002F2525" w:rsidRDefault="002F2525">
            <w:pPr>
              <w:jc w:val="both"/>
              <w:rPr>
                <w:rFonts w:cs="Arial"/>
              </w:rPr>
            </w:pPr>
            <w:proofErr w:type="spellStart"/>
            <w:r>
              <w:rPr>
                <w:rFonts w:cs="Arial"/>
              </w:rPr>
              <w:t>bb</w:t>
            </w:r>
            <w:proofErr w:type="spellEnd"/>
            <w:r>
              <w:rPr>
                <w:rFonts w:cs="Arial"/>
              </w:rPr>
              <w:t>) wet van 17 juli 1997 betreffende het gerechtelijk akkoord;</w:t>
            </w:r>
          </w:p>
          <w:p w:rsidR="002F2525" w:rsidRDefault="002F2525">
            <w:pPr>
              <w:jc w:val="both"/>
              <w:rPr>
                <w:rFonts w:cs="Arial"/>
              </w:rPr>
            </w:pPr>
          </w:p>
          <w:p w:rsidR="002F2525" w:rsidRPr="00010C3F" w:rsidRDefault="002F2525" w:rsidP="00624FDD">
            <w:pPr>
              <w:jc w:val="both"/>
              <w:rPr>
                <w:rFonts w:cs="Arial"/>
                <w:u w:val="single"/>
              </w:rPr>
            </w:pPr>
            <w:r>
              <w:rPr>
                <w:rFonts w:cs="Arial"/>
              </w:rPr>
              <w:t>cc) wet van 8 augustus op het faillissement.</w:t>
            </w:r>
            <w:r w:rsidR="00624FDD" w:rsidRPr="00010C3F">
              <w:rPr>
                <w:rFonts w:cs="Arial"/>
                <w:u w:val="single"/>
              </w:rPr>
              <w:t xml:space="preserve"> </w:t>
            </w:r>
          </w:p>
        </w:tc>
        <w:tc>
          <w:tcPr>
            <w:tcW w:w="900" w:type="dxa"/>
          </w:tcPr>
          <w:p w:rsidR="002F2525" w:rsidRDefault="002F2525">
            <w:pPr>
              <w:rPr>
                <w:rFonts w:cs="Arial"/>
                <w:lang w:val="nl-NL"/>
              </w:rPr>
            </w:pPr>
          </w:p>
          <w:tbl>
            <w:tblPr>
              <w:tblpPr w:leftFromText="180" w:rightFromText="180" w:vertAnchor="text" w:horzAnchor="margin" w:tblpY="-13"/>
              <w:tblOverlap w:val="never"/>
              <w:tblW w:w="892" w:type="dxa"/>
              <w:tblLayout w:type="fixed"/>
              <w:tblLook w:val="0000" w:firstRow="0" w:lastRow="0" w:firstColumn="0" w:lastColumn="0" w:noHBand="0" w:noVBand="0"/>
            </w:tblPr>
            <w:tblGrid>
              <w:gridCol w:w="892"/>
            </w:tblGrid>
            <w:tr w:rsidR="002F2525" w:rsidTr="005E728F">
              <w:tblPrEx>
                <w:tblCellMar>
                  <w:top w:w="0" w:type="dxa"/>
                  <w:bottom w:w="0" w:type="dxa"/>
                </w:tblCellMar>
              </w:tblPrEx>
              <w:trPr>
                <w:cantSplit/>
                <w:trHeight w:val="2022"/>
              </w:trPr>
              <w:tc>
                <w:tcPr>
                  <w:tcW w:w="892" w:type="dxa"/>
                  <w:tcBorders>
                    <w:bottom w:val="nil"/>
                  </w:tcBorders>
                  <w:noWrap/>
                </w:tcPr>
                <w:p w:rsidR="002F2525" w:rsidRDefault="00383BAB">
                  <w:pPr>
                    <w:rPr>
                      <w:rFonts w:cs="Arial"/>
                    </w:rPr>
                  </w:pPr>
                  <w:r>
                    <w:rPr>
                      <w:rFonts w:cs="Arial"/>
                      <w:noProof/>
                      <w:lang w:val="en-US"/>
                    </w:rPr>
                    <w:drawing>
                      <wp:inline distT="0" distB="0" distL="0" distR="0">
                        <wp:extent cx="104775" cy="1247775"/>
                        <wp:effectExtent l="0" t="0" r="0" b="0"/>
                        <wp:docPr id="2" name="Afbeelding 2" descr="n_entreprise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_entreprise_n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4775" cy="1247775"/>
                                </a:xfrm>
                                <a:prstGeom prst="rect">
                                  <a:avLst/>
                                </a:prstGeom>
                                <a:noFill/>
                                <a:ln>
                                  <a:noFill/>
                                </a:ln>
                              </pic:spPr>
                            </pic:pic>
                          </a:graphicData>
                        </a:graphic>
                      </wp:inline>
                    </w:drawing>
                  </w:r>
                </w:p>
              </w:tc>
            </w:tr>
          </w:tbl>
          <w:p w:rsidR="002F2525" w:rsidRDefault="002F2525">
            <w:pPr>
              <w:rPr>
                <w:rFonts w:cs="Arial"/>
                <w:lang w:val="nl-NL"/>
              </w:rPr>
            </w:pPr>
          </w:p>
          <w:p w:rsidR="002F2525" w:rsidRDefault="002F2525">
            <w:pPr>
              <w:rPr>
                <w:rFonts w:cs="Arial"/>
                <w:lang w:val="nl-NL"/>
              </w:rPr>
            </w:pPr>
          </w:p>
        </w:tc>
      </w:tr>
    </w:tbl>
    <w:p w:rsidR="002F2525" w:rsidRDefault="002F2525" w:rsidP="00010C3F">
      <w:pPr>
        <w:rPr>
          <w:lang w:val="nl-NL"/>
        </w:rPr>
      </w:pPr>
    </w:p>
    <w:sectPr w:rsidR="002F2525" w:rsidSect="005E728F">
      <w:headerReference w:type="even" r:id="rId9"/>
      <w:headerReference w:type="default" r:id="rId10"/>
      <w:footerReference w:type="even" r:id="rId11"/>
      <w:footerReference w:type="default" r:id="rId12"/>
      <w:headerReference w:type="first" r:id="rId13"/>
      <w:footerReference w:type="first" r:id="rId14"/>
      <w:pgSz w:w="11907" w:h="16840" w:code="9"/>
      <w:pgMar w:top="1418" w:right="1418" w:bottom="899" w:left="851" w:header="851" w:footer="816" w:gutter="0"/>
      <w:paperSrc w:first="1" w:other="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849E2" w:rsidRDefault="00B849E2">
      <w:r>
        <w:separator/>
      </w:r>
    </w:p>
  </w:endnote>
  <w:endnote w:type="continuationSeparator" w:id="0">
    <w:p w:rsidR="00B849E2" w:rsidRDefault="00B849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95" w:rsidRDefault="00772A9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95" w:rsidRDefault="00772A9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908" w:type="dxa"/>
      <w:tblLayout w:type="fixed"/>
      <w:tblLook w:val="01E0" w:firstRow="1" w:lastRow="1" w:firstColumn="1" w:lastColumn="1" w:noHBand="0" w:noVBand="0"/>
    </w:tblPr>
    <w:tblGrid>
      <w:gridCol w:w="1908"/>
      <w:gridCol w:w="236"/>
      <w:gridCol w:w="1924"/>
      <w:gridCol w:w="5760"/>
      <w:gridCol w:w="1080"/>
    </w:tblGrid>
    <w:tr w:rsidR="002F2525">
      <w:trPr>
        <w:cantSplit/>
        <w:trHeight w:val="536"/>
      </w:trPr>
      <w:tc>
        <w:tcPr>
          <w:tcW w:w="9828" w:type="dxa"/>
          <w:gridSpan w:val="4"/>
        </w:tcPr>
        <w:p w:rsidR="002F2525" w:rsidRPr="00B67BE4" w:rsidRDefault="002F2525">
          <w:pPr>
            <w:pStyle w:val="Contact"/>
            <w:rPr>
              <w:sz w:val="20"/>
              <w:szCs w:val="20"/>
              <w:lang w:val="nl-NL"/>
            </w:rPr>
          </w:pPr>
          <w:r w:rsidRPr="00B67BE4">
            <w:rPr>
              <w:sz w:val="20"/>
              <w:szCs w:val="20"/>
              <w:lang w:val="nl-NL"/>
            </w:rPr>
            <w:t>Ronald Botte</w:t>
          </w:r>
        </w:p>
        <w:p w:rsidR="002F2525" w:rsidRPr="00B67BE4" w:rsidRDefault="0081375D">
          <w:pPr>
            <w:pStyle w:val="ContactDGSService"/>
            <w:rPr>
              <w:sz w:val="20"/>
              <w:szCs w:val="20"/>
              <w:lang w:val="nl-NL"/>
            </w:rPr>
          </w:pPr>
          <w:r w:rsidRPr="0081375D">
            <w:rPr>
              <w:sz w:val="20"/>
              <w:szCs w:val="20"/>
              <w:lang w:val="nl-NL"/>
            </w:rPr>
            <w:t>Algemene Directie Economische Reglementering</w:t>
          </w:r>
          <w:r>
            <w:rPr>
              <w:sz w:val="20"/>
              <w:szCs w:val="20"/>
              <w:lang w:val="nl-NL"/>
            </w:rPr>
            <w:t xml:space="preserve"> </w:t>
          </w:r>
          <w:r w:rsidR="002F2525" w:rsidRPr="00B67BE4">
            <w:rPr>
              <w:sz w:val="20"/>
              <w:szCs w:val="20"/>
              <w:lang w:val="nl-NL"/>
            </w:rPr>
            <w:t>– Dienst Krediet - Schuldenlast</w:t>
          </w:r>
        </w:p>
        <w:p w:rsidR="002F2525" w:rsidRPr="00B67BE4" w:rsidRDefault="002F2525">
          <w:pPr>
            <w:pStyle w:val="Contactopeningsuren"/>
            <w:rPr>
              <w:sz w:val="14"/>
              <w:szCs w:val="14"/>
              <w:lang w:val="nl-NL"/>
            </w:rPr>
          </w:pPr>
          <w:r w:rsidRPr="00B67BE4">
            <w:rPr>
              <w:sz w:val="14"/>
              <w:szCs w:val="14"/>
            </w:rPr>
            <w:t xml:space="preserve">Elke werkdag van 9 tot 16 uur. </w:t>
          </w:r>
        </w:p>
      </w:tc>
      <w:tc>
        <w:tcPr>
          <w:tcW w:w="1080" w:type="dxa"/>
          <w:vMerge w:val="restart"/>
          <w:vAlign w:val="bottom"/>
        </w:tcPr>
        <w:p w:rsidR="002F2525" w:rsidRDefault="00383BAB">
          <w:pPr>
            <w:pStyle w:val="Contactopeningsuren"/>
            <w:jc w:val="right"/>
          </w:pPr>
          <w:r>
            <w:rPr>
              <w:noProof/>
              <w:lang w:val="en-US"/>
            </w:rPr>
            <w:drawing>
              <wp:inline distT="0" distB="0" distL="0" distR="0">
                <wp:extent cx="419100" cy="333375"/>
                <wp:effectExtent l="0" t="0" r="0" b="0"/>
                <wp:docPr id="3" name="Afbeelding 3" descr="be_n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_n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9100" cy="333375"/>
                        </a:xfrm>
                        <a:prstGeom prst="rect">
                          <a:avLst/>
                        </a:prstGeom>
                        <a:noFill/>
                        <a:ln>
                          <a:noFill/>
                        </a:ln>
                      </pic:spPr>
                    </pic:pic>
                  </a:graphicData>
                </a:graphic>
              </wp:inline>
            </w:drawing>
          </w:r>
        </w:p>
      </w:tc>
    </w:tr>
    <w:tr w:rsidR="002F2525">
      <w:trPr>
        <w:cantSplit/>
        <w:trHeight w:val="50"/>
      </w:trPr>
      <w:tc>
        <w:tcPr>
          <w:tcW w:w="1908" w:type="dxa"/>
          <w:vAlign w:val="bottom"/>
        </w:tcPr>
        <w:p w:rsidR="002F2525" w:rsidRDefault="00383BAB">
          <w:pPr>
            <w:pStyle w:val="Contactopeningsuren"/>
            <w:rPr>
              <w:lang w:val="nl-NL"/>
            </w:rPr>
          </w:pPr>
          <w:r>
            <w:rPr>
              <w:noProof/>
              <w:lang w:val="en-US"/>
            </w:rPr>
            <w:drawing>
              <wp:inline distT="0" distB="0" distL="0" distR="0">
                <wp:extent cx="1028700" cy="38100"/>
                <wp:effectExtent l="0" t="0" r="0" b="0"/>
                <wp:docPr id="4" name="Afbeelding 4" descr="3kleur_grayscale_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3kleur_grayscale_01"/>
                        <pic:cNvPicPr>
                          <a:picLocks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28700" cy="38100"/>
                        </a:xfrm>
                        <a:prstGeom prst="rect">
                          <a:avLst/>
                        </a:prstGeom>
                        <a:noFill/>
                        <a:ln>
                          <a:noFill/>
                        </a:ln>
                      </pic:spPr>
                    </pic:pic>
                  </a:graphicData>
                </a:graphic>
              </wp:inline>
            </w:drawing>
          </w:r>
        </w:p>
      </w:tc>
      <w:bookmarkStart w:id="1" w:name="_MON_1220345712"/>
      <w:bookmarkStart w:id="2" w:name="_MON_1220345731"/>
      <w:bookmarkEnd w:id="1"/>
      <w:bookmarkEnd w:id="2"/>
      <w:tc>
        <w:tcPr>
          <w:tcW w:w="2160" w:type="dxa"/>
          <w:gridSpan w:val="2"/>
          <w:vAlign w:val="bottom"/>
        </w:tcPr>
        <w:p w:rsidR="002F2525" w:rsidRDefault="002F2525">
          <w:pPr>
            <w:pStyle w:val="Contactopeningsuren"/>
            <w:rPr>
              <w:lang w:val="nl-NL"/>
            </w:rPr>
          </w:pPr>
          <w:r>
            <w:rPr>
              <w:lang w:val="nl-NL"/>
            </w:rPr>
            <w:object w:dxaOrig="1695" w:dyaOrig="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93.75pt;height:3pt" o:ole="">
                <v:imagedata r:id="rId3" o:title=""/>
              </v:shape>
              <o:OLEObject Type="Embed" ProgID="Word.Picture.8" ShapeID="_x0000_i1029" DrawAspect="Content" ObjectID="_1572851298" r:id="rId4"/>
            </w:object>
          </w:r>
        </w:p>
      </w:tc>
      <w:tc>
        <w:tcPr>
          <w:tcW w:w="5760" w:type="dxa"/>
          <w:vAlign w:val="bottom"/>
        </w:tcPr>
        <w:p w:rsidR="002F2525" w:rsidRDefault="00383BAB">
          <w:pPr>
            <w:pStyle w:val="Contactopeningsuren"/>
            <w:rPr>
              <w:lang w:val="fr-FR"/>
            </w:rPr>
          </w:pPr>
          <w:r>
            <w:rPr>
              <w:noProof/>
              <w:lang w:val="en-US"/>
            </w:rPr>
            <w:drawing>
              <wp:inline distT="0" distB="0" distL="0" distR="0">
                <wp:extent cx="2333625" cy="38100"/>
                <wp:effectExtent l="0" t="0" r="0" b="0"/>
                <wp:docPr id="6" name="Afbeelding 6" descr="3kleur_grayscale_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3kleur_grayscale_05"/>
                        <pic:cNvPicPr>
                          <a:picLocks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33625" cy="38100"/>
                        </a:xfrm>
                        <a:prstGeom prst="rect">
                          <a:avLst/>
                        </a:prstGeom>
                        <a:noFill/>
                        <a:ln>
                          <a:noFill/>
                        </a:ln>
                      </pic:spPr>
                    </pic:pic>
                  </a:graphicData>
                </a:graphic>
              </wp:inline>
            </w:drawing>
          </w:r>
        </w:p>
      </w:tc>
      <w:tc>
        <w:tcPr>
          <w:tcW w:w="1080" w:type="dxa"/>
          <w:vMerge/>
          <w:vAlign w:val="bottom"/>
        </w:tcPr>
        <w:p w:rsidR="002F2525" w:rsidRDefault="002F2525">
          <w:pPr>
            <w:pStyle w:val="Contactopeningsuren"/>
            <w:rPr>
              <w:lang w:val="fr-FR"/>
            </w:rPr>
          </w:pPr>
        </w:p>
      </w:tc>
    </w:tr>
    <w:tr w:rsidR="002F2525">
      <w:trPr>
        <w:cantSplit/>
        <w:trHeight w:val="544"/>
      </w:trPr>
      <w:tc>
        <w:tcPr>
          <w:tcW w:w="1908" w:type="dxa"/>
          <w:vAlign w:val="bottom"/>
        </w:tcPr>
        <w:p w:rsidR="002F2525" w:rsidRDefault="00772A95">
          <w:pPr>
            <w:pStyle w:val="Voettekst"/>
            <w:spacing w:before="160"/>
            <w:rPr>
              <w:rFonts w:cs="Arial"/>
              <w:sz w:val="16"/>
              <w:szCs w:val="16"/>
              <w:lang w:val="nl-NL"/>
            </w:rPr>
          </w:pPr>
          <w:r>
            <w:rPr>
              <w:rFonts w:cs="Arial"/>
              <w:sz w:val="16"/>
              <w:szCs w:val="16"/>
              <w:lang w:val="nl-NL"/>
            </w:rPr>
            <w:t>Vooruitgangstraat 50</w:t>
          </w:r>
        </w:p>
        <w:p w:rsidR="002F2525" w:rsidRDefault="00772A95">
          <w:pPr>
            <w:pStyle w:val="Voettekst"/>
            <w:rPr>
              <w:rFonts w:cs="Arial"/>
              <w:sz w:val="16"/>
              <w:szCs w:val="16"/>
              <w:lang w:val="fr-FR"/>
            </w:rPr>
          </w:pPr>
          <w:r>
            <w:rPr>
              <w:rFonts w:cs="Arial"/>
              <w:sz w:val="16"/>
              <w:szCs w:val="16"/>
              <w:lang w:val="nl-NL"/>
            </w:rPr>
            <w:t>1210 Brussel</w:t>
          </w:r>
        </w:p>
      </w:tc>
      <w:tc>
        <w:tcPr>
          <w:tcW w:w="236" w:type="dxa"/>
          <w:vAlign w:val="bottom"/>
        </w:tcPr>
        <w:p w:rsidR="002F2525" w:rsidRDefault="002F2525">
          <w:pPr>
            <w:pStyle w:val="Voettekst"/>
            <w:spacing w:before="160"/>
            <w:rPr>
              <w:rFonts w:cs="Arial"/>
              <w:color w:val="4B4B4B"/>
              <w:sz w:val="16"/>
              <w:szCs w:val="16"/>
              <w:lang w:val="fr-FR"/>
            </w:rPr>
          </w:pPr>
          <w:r>
            <w:rPr>
              <w:rFonts w:cs="Arial"/>
              <w:color w:val="4B4B4B"/>
              <w:sz w:val="16"/>
              <w:szCs w:val="16"/>
              <w:lang w:val="fr-FR"/>
            </w:rPr>
            <w:t>T</w:t>
          </w:r>
        </w:p>
        <w:p w:rsidR="002F2525" w:rsidRDefault="002F2525">
          <w:pPr>
            <w:pStyle w:val="Voettekst"/>
            <w:rPr>
              <w:rFonts w:cs="Arial"/>
              <w:color w:val="4B4B4B"/>
              <w:sz w:val="16"/>
              <w:szCs w:val="16"/>
              <w:lang w:val="fr-FR"/>
            </w:rPr>
          </w:pPr>
          <w:r>
            <w:rPr>
              <w:rFonts w:cs="Arial"/>
              <w:color w:val="4B4B4B"/>
              <w:sz w:val="16"/>
              <w:szCs w:val="16"/>
              <w:lang w:val="fr-FR"/>
            </w:rPr>
            <w:t>F</w:t>
          </w:r>
        </w:p>
      </w:tc>
      <w:tc>
        <w:tcPr>
          <w:tcW w:w="1924" w:type="dxa"/>
          <w:vAlign w:val="bottom"/>
        </w:tcPr>
        <w:p w:rsidR="002F2525" w:rsidRDefault="002F2525">
          <w:pPr>
            <w:pStyle w:val="Voettekst"/>
            <w:spacing w:before="160"/>
            <w:rPr>
              <w:rFonts w:cs="Arial"/>
              <w:sz w:val="16"/>
              <w:szCs w:val="16"/>
              <w:lang w:val="fr-FR"/>
            </w:rPr>
          </w:pPr>
          <w:r>
            <w:rPr>
              <w:rFonts w:cs="Arial"/>
              <w:sz w:val="16"/>
              <w:szCs w:val="16"/>
              <w:lang w:val="fr-FR"/>
            </w:rPr>
            <w:t>+32 (0) 2 277 83 74</w:t>
          </w:r>
        </w:p>
        <w:p w:rsidR="002F2525" w:rsidRDefault="002F2525">
          <w:pPr>
            <w:pStyle w:val="Voettekst"/>
            <w:rPr>
              <w:rFonts w:cs="Arial"/>
              <w:sz w:val="16"/>
              <w:szCs w:val="16"/>
              <w:lang w:val="fr-FR"/>
            </w:rPr>
          </w:pPr>
          <w:r>
            <w:rPr>
              <w:rFonts w:cs="Arial"/>
              <w:sz w:val="16"/>
              <w:szCs w:val="16"/>
              <w:lang w:val="fr-FR"/>
            </w:rPr>
            <w:t>+32 (0) 2 277 52 55</w:t>
          </w:r>
        </w:p>
      </w:tc>
      <w:tc>
        <w:tcPr>
          <w:tcW w:w="5760" w:type="dxa"/>
          <w:vAlign w:val="bottom"/>
        </w:tcPr>
        <w:p w:rsidR="002F2525" w:rsidRDefault="002F2525">
          <w:pPr>
            <w:pStyle w:val="Voettekst"/>
            <w:spacing w:before="120"/>
            <w:rPr>
              <w:rFonts w:cs="Arial"/>
              <w:sz w:val="16"/>
              <w:szCs w:val="16"/>
              <w:lang w:val="fr-FR"/>
            </w:rPr>
          </w:pPr>
          <w:hyperlink r:id="rId6" w:history="1">
            <w:r>
              <w:rPr>
                <w:rStyle w:val="Hyperlink"/>
                <w:lang w:val="fr-FR"/>
              </w:rPr>
              <w:t>ronald.botte@economie.fgov.be</w:t>
            </w:r>
          </w:hyperlink>
        </w:p>
        <w:p w:rsidR="002F2525" w:rsidRDefault="002F2525">
          <w:pPr>
            <w:pStyle w:val="Voettekst"/>
            <w:spacing w:before="120"/>
            <w:rPr>
              <w:rFonts w:cs="Arial"/>
              <w:sz w:val="16"/>
              <w:szCs w:val="16"/>
              <w:lang w:val="fr-FR"/>
            </w:rPr>
          </w:pPr>
          <w:hyperlink r:id="rId7" w:history="1">
            <w:r>
              <w:rPr>
                <w:rStyle w:val="Hyperlink"/>
                <w:lang w:val="fr-FR"/>
              </w:rPr>
              <w:t>http://economie.fgov.be/</w:t>
            </w:r>
          </w:hyperlink>
        </w:p>
      </w:tc>
      <w:tc>
        <w:tcPr>
          <w:tcW w:w="1080" w:type="dxa"/>
          <w:vMerge/>
          <w:vAlign w:val="bottom"/>
        </w:tcPr>
        <w:p w:rsidR="002F2525" w:rsidRDefault="002F2525">
          <w:pPr>
            <w:pStyle w:val="Voettekst"/>
            <w:rPr>
              <w:rFonts w:cs="Arial"/>
              <w:sz w:val="16"/>
              <w:szCs w:val="16"/>
              <w:lang w:val="fr-FR"/>
            </w:rPr>
          </w:pPr>
        </w:p>
      </w:tc>
    </w:tr>
  </w:tbl>
  <w:p w:rsidR="002F2525" w:rsidRDefault="002F2525">
    <w:pPr>
      <w:pStyle w:val="Voettekst"/>
      <w:rPr>
        <w:sz w:val="2"/>
        <w:szCs w:val="2"/>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849E2" w:rsidRDefault="00B849E2">
      <w:r>
        <w:separator/>
      </w:r>
    </w:p>
  </w:footnote>
  <w:footnote w:type="continuationSeparator" w:id="0">
    <w:p w:rsidR="00B849E2" w:rsidRDefault="00B849E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95" w:rsidRDefault="00772A9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2A95" w:rsidRDefault="00772A9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28" w:type="dxa"/>
      <w:tblLook w:val="01E0" w:firstRow="1" w:lastRow="1" w:firstColumn="1" w:lastColumn="1" w:noHBand="0" w:noVBand="0"/>
    </w:tblPr>
    <w:tblGrid>
      <w:gridCol w:w="4255"/>
      <w:gridCol w:w="2153"/>
      <w:gridCol w:w="3420"/>
    </w:tblGrid>
    <w:tr w:rsidR="002F2525">
      <w:trPr>
        <w:trHeight w:val="737"/>
      </w:trPr>
      <w:tc>
        <w:tcPr>
          <w:tcW w:w="4255" w:type="dxa"/>
          <w:vAlign w:val="bottom"/>
        </w:tcPr>
        <w:p w:rsidR="002F2525" w:rsidRDefault="00383BAB">
          <w:pPr>
            <w:pStyle w:val="Koptekst"/>
            <w:jc w:val="right"/>
          </w:pPr>
          <w:r>
            <w:rPr>
              <w:noProof/>
              <w:lang w:val="en-US"/>
            </w:rPr>
            <w:drawing>
              <wp:inline distT="0" distB="0" distL="0" distR="0">
                <wp:extent cx="2562225" cy="609600"/>
                <wp:effectExtent l="0" t="0" r="0" b="0"/>
                <wp:docPr id="1" name="Afbeelding 1" descr="logo_lettre_nb_n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lettre_nb_n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62225" cy="609600"/>
                        </a:xfrm>
                        <a:prstGeom prst="rect">
                          <a:avLst/>
                        </a:prstGeom>
                        <a:noFill/>
                        <a:ln>
                          <a:noFill/>
                        </a:ln>
                      </pic:spPr>
                    </pic:pic>
                  </a:graphicData>
                </a:graphic>
              </wp:inline>
            </w:drawing>
          </w:r>
        </w:p>
      </w:tc>
      <w:tc>
        <w:tcPr>
          <w:tcW w:w="2153" w:type="dxa"/>
        </w:tcPr>
        <w:p w:rsidR="002F2525" w:rsidRDefault="002F2525">
          <w:pPr>
            <w:pStyle w:val="Koptekst"/>
          </w:pPr>
        </w:p>
      </w:tc>
      <w:tc>
        <w:tcPr>
          <w:tcW w:w="3420" w:type="dxa"/>
        </w:tcPr>
        <w:p w:rsidR="002F2525" w:rsidRDefault="002F2525">
          <w:pPr>
            <w:pStyle w:val="Koptekst"/>
            <w:rPr>
              <w:rFonts w:cs="Arial"/>
              <w:szCs w:val="20"/>
            </w:rPr>
          </w:pPr>
        </w:p>
      </w:tc>
    </w:tr>
  </w:tbl>
  <w:p w:rsidR="002F2525" w:rsidRDefault="002F2525">
    <w:pPr>
      <w:pStyle w:val="Koptekst"/>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B22F0"/>
    <w:multiLevelType w:val="singleLevel"/>
    <w:tmpl w:val="FB3CC7F0"/>
    <w:lvl w:ilvl="0">
      <w:start w:val="1"/>
      <w:numFmt w:val="lowerRoman"/>
      <w:lvlText w:val="%1)"/>
      <w:lvlJc w:val="left"/>
      <w:pPr>
        <w:tabs>
          <w:tab w:val="num" w:pos="720"/>
        </w:tabs>
        <w:ind w:left="720" w:hanging="720"/>
      </w:pPr>
      <w:rPr>
        <w:rFonts w:hint="default"/>
      </w:rPr>
    </w:lvl>
  </w:abstractNum>
  <w:abstractNum w:abstractNumId="1">
    <w:nsid w:val="0C247AC6"/>
    <w:multiLevelType w:val="hybridMultilevel"/>
    <w:tmpl w:val="ACBAE98A"/>
    <w:lvl w:ilvl="0" w:tplc="2BDAA8A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CD70DE9"/>
    <w:multiLevelType w:val="singleLevel"/>
    <w:tmpl w:val="04130017"/>
    <w:lvl w:ilvl="0">
      <w:start w:val="18"/>
      <w:numFmt w:val="lowerLetter"/>
      <w:lvlText w:val="%1)"/>
      <w:lvlJc w:val="left"/>
      <w:pPr>
        <w:tabs>
          <w:tab w:val="num" w:pos="360"/>
        </w:tabs>
        <w:ind w:left="360" w:hanging="360"/>
      </w:pPr>
      <w:rPr>
        <w:rFonts w:hint="default"/>
      </w:rPr>
    </w:lvl>
  </w:abstractNum>
  <w:abstractNum w:abstractNumId="3">
    <w:nsid w:val="285E5982"/>
    <w:multiLevelType w:val="hybridMultilevel"/>
    <w:tmpl w:val="9FC03858"/>
    <w:lvl w:ilvl="0" w:tplc="0409000F">
      <w:start w:val="1"/>
      <w:numFmt w:val="decimal"/>
      <w:lvlText w:val="%1."/>
      <w:lvlJc w:val="left"/>
      <w:pPr>
        <w:tabs>
          <w:tab w:val="num" w:pos="720"/>
        </w:tabs>
        <w:ind w:left="720" w:hanging="360"/>
      </w:pPr>
    </w:lvl>
    <w:lvl w:ilvl="1" w:tplc="E8F803D8">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EF25842"/>
    <w:multiLevelType w:val="singleLevel"/>
    <w:tmpl w:val="6A6879D2"/>
    <w:lvl w:ilvl="0">
      <w:start w:val="1"/>
      <w:numFmt w:val="upperLetter"/>
      <w:lvlText w:val="%1."/>
      <w:lvlJc w:val="left"/>
      <w:pPr>
        <w:tabs>
          <w:tab w:val="num" w:pos="405"/>
        </w:tabs>
        <w:ind w:left="405" w:hanging="405"/>
      </w:pPr>
      <w:rPr>
        <w:rFonts w:hint="default"/>
      </w:rPr>
    </w:lvl>
  </w:abstractNum>
  <w:abstractNum w:abstractNumId="5">
    <w:nsid w:val="542E2D5D"/>
    <w:multiLevelType w:val="hybridMultilevel"/>
    <w:tmpl w:val="C8ECB742"/>
    <w:lvl w:ilvl="0" w:tplc="1F8EF894">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66A63936"/>
    <w:multiLevelType w:val="singleLevel"/>
    <w:tmpl w:val="0413000F"/>
    <w:lvl w:ilvl="0">
      <w:start w:val="1"/>
      <w:numFmt w:val="decimal"/>
      <w:lvlText w:val="%1."/>
      <w:lvlJc w:val="left"/>
      <w:pPr>
        <w:tabs>
          <w:tab w:val="num" w:pos="360"/>
        </w:tabs>
        <w:ind w:left="360" w:hanging="360"/>
      </w:pPr>
      <w:rPr>
        <w:rFonts w:hint="default"/>
      </w:rPr>
    </w:lvl>
  </w:abstractNum>
  <w:abstractNum w:abstractNumId="7">
    <w:nsid w:val="709835B3"/>
    <w:multiLevelType w:val="multilevel"/>
    <w:tmpl w:val="9794B5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155204F"/>
    <w:multiLevelType w:val="singleLevel"/>
    <w:tmpl w:val="04130017"/>
    <w:lvl w:ilvl="0">
      <w:start w:val="6"/>
      <w:numFmt w:val="lowerLetter"/>
      <w:lvlText w:val="%1)"/>
      <w:lvlJc w:val="left"/>
      <w:pPr>
        <w:tabs>
          <w:tab w:val="num" w:pos="360"/>
        </w:tabs>
        <w:ind w:left="360" w:hanging="360"/>
      </w:pPr>
      <w:rPr>
        <w:rFonts w:hint="default"/>
      </w:rPr>
    </w:lvl>
  </w:abstractNum>
  <w:abstractNum w:abstractNumId="9">
    <w:nsid w:val="76A73335"/>
    <w:multiLevelType w:val="hybridMultilevel"/>
    <w:tmpl w:val="9BE2B90A"/>
    <w:lvl w:ilvl="0" w:tplc="7556DA2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78D12FCB"/>
    <w:multiLevelType w:val="multilevel"/>
    <w:tmpl w:val="67A0E2D0"/>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40"/>
        </w:tabs>
        <w:ind w:left="1440" w:hanging="36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960"/>
        </w:tabs>
        <w:ind w:left="3960" w:hanging="720"/>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840"/>
        </w:tabs>
        <w:ind w:left="6840" w:hanging="144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360"/>
        </w:tabs>
        <w:ind w:left="9360" w:hanging="1800"/>
      </w:pPr>
      <w:rPr>
        <w:rFonts w:hint="default"/>
      </w:rPr>
    </w:lvl>
    <w:lvl w:ilvl="8">
      <w:start w:val="1"/>
      <w:numFmt w:val="decimal"/>
      <w:lvlText w:val="%1.%2.%3.%4.%5.%6.%7.%8.%9"/>
      <w:lvlJc w:val="left"/>
      <w:pPr>
        <w:tabs>
          <w:tab w:val="num" w:pos="10440"/>
        </w:tabs>
        <w:ind w:left="10440" w:hanging="1800"/>
      </w:pPr>
      <w:rPr>
        <w:rFonts w:hint="default"/>
      </w:rPr>
    </w:lvl>
  </w:abstractNum>
  <w:num w:numId="1">
    <w:abstractNumId w:val="3"/>
  </w:num>
  <w:num w:numId="2">
    <w:abstractNumId w:val="10"/>
  </w:num>
  <w:num w:numId="3">
    <w:abstractNumId w:val="4"/>
  </w:num>
  <w:num w:numId="4">
    <w:abstractNumId w:val="6"/>
  </w:num>
  <w:num w:numId="5">
    <w:abstractNumId w:val="0"/>
  </w:num>
  <w:num w:numId="6">
    <w:abstractNumId w:val="8"/>
  </w:num>
  <w:num w:numId="7">
    <w:abstractNumId w:val="2"/>
  </w:num>
  <w:num w:numId="8">
    <w:abstractNumId w:val="5"/>
  </w:num>
  <w:num w:numId="9">
    <w:abstractNumId w:val="1"/>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1E76"/>
    <w:rsid w:val="00010C3F"/>
    <w:rsid w:val="000311DF"/>
    <w:rsid w:val="00085CBD"/>
    <w:rsid w:val="000B497D"/>
    <w:rsid w:val="00113941"/>
    <w:rsid w:val="00161FFF"/>
    <w:rsid w:val="00190FFF"/>
    <w:rsid w:val="001B1E76"/>
    <w:rsid w:val="00244E70"/>
    <w:rsid w:val="0026272E"/>
    <w:rsid w:val="002F2525"/>
    <w:rsid w:val="00346FF6"/>
    <w:rsid w:val="0035430A"/>
    <w:rsid w:val="00383BAB"/>
    <w:rsid w:val="00384BFA"/>
    <w:rsid w:val="003C00BD"/>
    <w:rsid w:val="004171A6"/>
    <w:rsid w:val="004E6DE0"/>
    <w:rsid w:val="005033B2"/>
    <w:rsid w:val="00507FD7"/>
    <w:rsid w:val="005E4F0D"/>
    <w:rsid w:val="005E728F"/>
    <w:rsid w:val="006046BF"/>
    <w:rsid w:val="0062039B"/>
    <w:rsid w:val="00624FDD"/>
    <w:rsid w:val="006E0C07"/>
    <w:rsid w:val="006E7AF7"/>
    <w:rsid w:val="00772A95"/>
    <w:rsid w:val="00782E2D"/>
    <w:rsid w:val="007941EE"/>
    <w:rsid w:val="0079563B"/>
    <w:rsid w:val="007D226F"/>
    <w:rsid w:val="00804F39"/>
    <w:rsid w:val="0081375D"/>
    <w:rsid w:val="00841BC4"/>
    <w:rsid w:val="008B7EA8"/>
    <w:rsid w:val="008C6809"/>
    <w:rsid w:val="009A10E4"/>
    <w:rsid w:val="009E2EB2"/>
    <w:rsid w:val="00AD031C"/>
    <w:rsid w:val="00AF7BEB"/>
    <w:rsid w:val="00B2514B"/>
    <w:rsid w:val="00B67BE4"/>
    <w:rsid w:val="00B849E2"/>
    <w:rsid w:val="00BD5E18"/>
    <w:rsid w:val="00C57397"/>
    <w:rsid w:val="00C72C41"/>
    <w:rsid w:val="00C738AE"/>
    <w:rsid w:val="00D032F8"/>
    <w:rsid w:val="00D404E4"/>
    <w:rsid w:val="00DA2D8A"/>
    <w:rsid w:val="00EA490B"/>
    <w:rsid w:val="00ED31B3"/>
    <w:rsid w:val="00ED7C82"/>
    <w:rsid w:val="00F0559C"/>
    <w:rsid w:val="00F56A1E"/>
    <w:rsid w:val="00FD43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18"/>
      <w:szCs w:val="24"/>
      <w:lang w:val="nl-BE"/>
    </w:rPr>
  </w:style>
  <w:style w:type="paragraph" w:styleId="Kop1">
    <w:name w:val="heading 1"/>
    <w:basedOn w:val="Standaard"/>
    <w:next w:val="Standaard"/>
    <w:qFormat/>
    <w:pPr>
      <w:keepNext/>
      <w:outlineLvl w:val="0"/>
    </w:pPr>
    <w:rPr>
      <w:rFonts w:cs="Arial"/>
      <w:b/>
      <w:bCs/>
      <w:smallCaps/>
      <w:color w:val="4B4B4B"/>
      <w:sz w:val="22"/>
      <w:szCs w:val="32"/>
    </w:rPr>
  </w:style>
  <w:style w:type="paragraph" w:styleId="Kop2">
    <w:name w:val="heading 2"/>
    <w:basedOn w:val="Titel2"/>
    <w:next w:val="Standaard"/>
    <w:qFormat/>
    <w:rPr>
      <w:bCs w:val="0"/>
      <w:iCs/>
      <w:szCs w:val="28"/>
    </w:rPr>
  </w:style>
  <w:style w:type="paragraph" w:styleId="Kop3">
    <w:name w:val="heading 3"/>
    <w:basedOn w:val="Titel3"/>
    <w:next w:val="Standaard"/>
    <w:qFormat/>
    <w:rPr>
      <w:bCs w:val="0"/>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Titel2">
    <w:name w:val="Titel 2"/>
    <w:basedOn w:val="Kop1"/>
    <w:pPr>
      <w:outlineLvl w:val="1"/>
    </w:pPr>
    <w:rPr>
      <w:b w:val="0"/>
    </w:rPr>
  </w:style>
  <w:style w:type="paragraph" w:customStyle="1" w:styleId="Titel3">
    <w:name w:val="Titel 3"/>
    <w:basedOn w:val="Titel2"/>
    <w:pPr>
      <w:outlineLvl w:val="2"/>
    </w:pPr>
    <w:rPr>
      <w:b/>
      <w:color w:val="000000"/>
      <w:sz w:val="18"/>
    </w:rPr>
  </w:style>
  <w:style w:type="paragraph" w:styleId="Koptekst">
    <w:name w:val="header"/>
    <w:basedOn w:val="Standaard"/>
    <w:pPr>
      <w:tabs>
        <w:tab w:val="center" w:pos="4320"/>
        <w:tab w:val="right" w:pos="8640"/>
      </w:tabs>
      <w:spacing w:line="240" w:lineRule="auto"/>
    </w:pPr>
  </w:style>
  <w:style w:type="paragraph" w:styleId="Voettekst">
    <w:name w:val="footer"/>
    <w:basedOn w:val="Standaard"/>
    <w:pPr>
      <w:tabs>
        <w:tab w:val="center" w:pos="4320"/>
        <w:tab w:val="right" w:pos="8640"/>
      </w:tabs>
      <w:spacing w:line="240" w:lineRule="auto"/>
    </w:pPr>
  </w:style>
  <w:style w:type="character" w:styleId="Hyperlink">
    <w:name w:val="Hyperlink"/>
    <w:rPr>
      <w:color w:val="0000FF"/>
      <w:u w:val="single"/>
    </w:rPr>
  </w:style>
  <w:style w:type="character" w:styleId="Paginanummer">
    <w:name w:val="page number"/>
    <w:rPr>
      <w:rFonts w:ascii="Arial" w:hAnsi="Arial"/>
      <w:color w:val="4D4D4D"/>
      <w:sz w:val="12"/>
    </w:rPr>
  </w:style>
  <w:style w:type="paragraph" w:customStyle="1" w:styleId="Reference">
    <w:name w:val="Reference"/>
    <w:basedOn w:val="Standaard"/>
    <w:pPr>
      <w:spacing w:line="240" w:lineRule="auto"/>
    </w:pPr>
    <w:rPr>
      <w:sz w:val="12"/>
    </w:rPr>
  </w:style>
  <w:style w:type="paragraph" w:customStyle="1" w:styleId="Betreft">
    <w:name w:val="Betreft"/>
    <w:basedOn w:val="Standaard"/>
    <w:pPr>
      <w:spacing w:line="240" w:lineRule="auto"/>
    </w:pPr>
    <w:rPr>
      <w:rFonts w:cs="Arial"/>
      <w:szCs w:val="20"/>
    </w:rPr>
  </w:style>
  <w:style w:type="paragraph" w:customStyle="1" w:styleId="NaamBestemmeling">
    <w:name w:val="Naam Bestemmeling"/>
    <w:basedOn w:val="Standaard"/>
    <w:pPr>
      <w:jc w:val="right"/>
    </w:pPr>
    <w:rPr>
      <w:rFonts w:cs="Arial"/>
      <w:b/>
      <w:szCs w:val="20"/>
    </w:rPr>
  </w:style>
  <w:style w:type="paragraph" w:customStyle="1" w:styleId="Adres">
    <w:name w:val="Adres"/>
    <w:basedOn w:val="Standaard"/>
    <w:pPr>
      <w:spacing w:line="240" w:lineRule="auto"/>
      <w:jc w:val="right"/>
    </w:pPr>
    <w:rPr>
      <w:rFonts w:cs="Arial"/>
      <w:szCs w:val="20"/>
    </w:rPr>
  </w:style>
  <w:style w:type="paragraph" w:customStyle="1" w:styleId="CodeDGS">
    <w:name w:val="Code_DG/S"/>
    <w:basedOn w:val="Standaard"/>
    <w:pPr>
      <w:jc w:val="right"/>
    </w:pPr>
    <w:rPr>
      <w:rFonts w:cs="Arial"/>
      <w:color w:val="4D4D4D"/>
      <w:szCs w:val="18"/>
    </w:rPr>
  </w:style>
  <w:style w:type="paragraph" w:customStyle="1" w:styleId="Contact">
    <w:name w:val="Contact"/>
    <w:basedOn w:val="Voettekst"/>
    <w:rPr>
      <w:b/>
    </w:rPr>
  </w:style>
  <w:style w:type="paragraph" w:customStyle="1" w:styleId="ContactDGSDienst">
    <w:name w:val="Contact_DG/S/Dienst"/>
    <w:basedOn w:val="Voettekst"/>
  </w:style>
  <w:style w:type="paragraph" w:customStyle="1" w:styleId="Contactopeningsuren">
    <w:name w:val="Contact_openingsuren"/>
    <w:basedOn w:val="Voettekst"/>
    <w:rPr>
      <w:rFonts w:cs="Arial"/>
      <w:sz w:val="12"/>
      <w:szCs w:val="12"/>
    </w:rPr>
  </w:style>
  <w:style w:type="paragraph" w:customStyle="1" w:styleId="Handtekening1">
    <w:name w:val="Handtekening1"/>
    <w:basedOn w:val="Standaard"/>
    <w:pPr>
      <w:jc w:val="right"/>
    </w:pPr>
  </w:style>
  <w:style w:type="paragraph" w:customStyle="1" w:styleId="ContactDGSService">
    <w:name w:val="Contact_DG/S/Service"/>
    <w:basedOn w:val="Voettekst"/>
    <w:rPr>
      <w:lang w:val="fr-BE"/>
    </w:rPr>
  </w:style>
  <w:style w:type="paragraph" w:customStyle="1" w:styleId="Titel4">
    <w:name w:val="Titel 4"/>
    <w:basedOn w:val="Titel3"/>
    <w:pPr>
      <w:outlineLvl w:val="3"/>
    </w:pPr>
    <w:rPr>
      <w:smallCaps w:val="0"/>
      <w:color w:val="4B4B4B"/>
    </w:rPr>
  </w:style>
  <w:style w:type="paragraph" w:customStyle="1" w:styleId="Titel1">
    <w:name w:val="Titel 1"/>
    <w:basedOn w:val="Kop1"/>
  </w:style>
  <w:style w:type="paragraph" w:styleId="Plattetekstinspringen">
    <w:name w:val="Body Text Indent"/>
    <w:basedOn w:val="Standaard"/>
    <w:pPr>
      <w:tabs>
        <w:tab w:val="center" w:pos="2268"/>
        <w:tab w:val="left" w:pos="3635"/>
        <w:tab w:val="left" w:pos="7370"/>
      </w:tabs>
      <w:ind w:left="3635"/>
      <w:jc w:val="center"/>
    </w:pPr>
    <w:rPr>
      <w:rFonts w:cs="Arial"/>
      <w:bCs/>
      <w:iCs/>
    </w:rPr>
  </w:style>
  <w:style w:type="paragraph" w:customStyle="1" w:styleId="Standaard2">
    <w:name w:val="Standaard2"/>
    <w:basedOn w:val="Standaard"/>
    <w:pPr>
      <w:tabs>
        <w:tab w:val="left" w:pos="284"/>
        <w:tab w:val="left" w:pos="568"/>
        <w:tab w:val="left" w:pos="908"/>
        <w:tab w:val="center" w:pos="5670"/>
      </w:tabs>
      <w:suppressAutoHyphens/>
      <w:spacing w:line="240" w:lineRule="auto"/>
    </w:pPr>
    <w:rPr>
      <w:rFonts w:ascii="CG Times" w:hAnsi="CG Times"/>
      <w:i/>
      <w:sz w:val="22"/>
      <w:szCs w:val="20"/>
      <w:lang w:val="nl-NL"/>
    </w:rPr>
  </w:style>
  <w:style w:type="paragraph" w:styleId="Plattetekst">
    <w:name w:val="Body Text"/>
    <w:basedOn w:val="Standaard"/>
    <w:pPr>
      <w:tabs>
        <w:tab w:val="left" w:pos="284"/>
        <w:tab w:val="left" w:pos="568"/>
        <w:tab w:val="left" w:pos="908"/>
        <w:tab w:val="center" w:pos="5670"/>
      </w:tabs>
      <w:suppressAutoHyphens/>
      <w:jc w:val="both"/>
    </w:pPr>
    <w:rPr>
      <w:rFonts w:cs="Arial"/>
    </w:rPr>
  </w:style>
  <w:style w:type="paragraph" w:customStyle="1" w:styleId="stand">
    <w:name w:val="stand"/>
    <w:pPr>
      <w:tabs>
        <w:tab w:val="center" w:pos="2276"/>
        <w:tab w:val="left" w:pos="7010"/>
        <w:tab w:val="left" w:pos="7350"/>
      </w:tabs>
      <w:suppressAutoHyphens/>
    </w:pPr>
    <w:rPr>
      <w:sz w:val="16"/>
    </w:rPr>
  </w:style>
  <w:style w:type="paragraph" w:styleId="Ballontekst">
    <w:name w:val="Balloon Text"/>
    <w:basedOn w:val="Standaard"/>
    <w:link w:val="BallontekstChar"/>
    <w:rsid w:val="00D032F8"/>
    <w:pPr>
      <w:spacing w:line="240" w:lineRule="auto"/>
    </w:pPr>
    <w:rPr>
      <w:rFonts w:ascii="Tahoma" w:hAnsi="Tahoma" w:cs="Tahoma"/>
      <w:sz w:val="16"/>
      <w:szCs w:val="16"/>
    </w:rPr>
  </w:style>
  <w:style w:type="character" w:customStyle="1" w:styleId="BallontekstChar">
    <w:name w:val="Ballontekst Char"/>
    <w:link w:val="Ballontekst"/>
    <w:rsid w:val="00D032F8"/>
    <w:rPr>
      <w:rFonts w:ascii="Tahoma" w:hAnsi="Tahoma" w:cs="Tahoma"/>
      <w:sz w:val="16"/>
      <w:szCs w:val="16"/>
      <w:lang w:val="nl-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ard">
    <w:name w:val="Normal"/>
    <w:qFormat/>
    <w:pPr>
      <w:spacing w:line="360" w:lineRule="auto"/>
    </w:pPr>
    <w:rPr>
      <w:rFonts w:ascii="Arial" w:hAnsi="Arial"/>
      <w:sz w:val="18"/>
      <w:szCs w:val="24"/>
      <w:lang w:val="nl-BE"/>
    </w:rPr>
  </w:style>
  <w:style w:type="paragraph" w:styleId="Kop1">
    <w:name w:val="heading 1"/>
    <w:basedOn w:val="Standaard"/>
    <w:next w:val="Standaard"/>
    <w:qFormat/>
    <w:pPr>
      <w:keepNext/>
      <w:outlineLvl w:val="0"/>
    </w:pPr>
    <w:rPr>
      <w:rFonts w:cs="Arial"/>
      <w:b/>
      <w:bCs/>
      <w:smallCaps/>
      <w:color w:val="4B4B4B"/>
      <w:sz w:val="22"/>
      <w:szCs w:val="32"/>
    </w:rPr>
  </w:style>
  <w:style w:type="paragraph" w:styleId="Kop2">
    <w:name w:val="heading 2"/>
    <w:basedOn w:val="Titel2"/>
    <w:next w:val="Standaard"/>
    <w:qFormat/>
    <w:rPr>
      <w:bCs w:val="0"/>
      <w:iCs/>
      <w:szCs w:val="28"/>
    </w:rPr>
  </w:style>
  <w:style w:type="paragraph" w:styleId="Kop3">
    <w:name w:val="heading 3"/>
    <w:basedOn w:val="Titel3"/>
    <w:next w:val="Standaard"/>
    <w:qFormat/>
    <w:rPr>
      <w:bCs w:val="0"/>
      <w:szCs w:val="26"/>
    </w:rPr>
  </w:style>
  <w:style w:type="character" w:default="1" w:styleId="Standaardalinea-lettertype">
    <w:name w:val="Default Paragraph Font"/>
    <w:semiHidden/>
  </w:style>
  <w:style w:type="table" w:default="1" w:styleId="Standaardtabel">
    <w:name w:val="Normal Table"/>
    <w:semiHidden/>
    <w:tblPr>
      <w:tblInd w:w="0" w:type="dxa"/>
      <w:tblCellMar>
        <w:top w:w="0" w:type="dxa"/>
        <w:left w:w="108" w:type="dxa"/>
        <w:bottom w:w="0" w:type="dxa"/>
        <w:right w:w="108" w:type="dxa"/>
      </w:tblCellMar>
    </w:tblPr>
  </w:style>
  <w:style w:type="numbering" w:default="1" w:styleId="Geenlijst">
    <w:name w:val="No List"/>
    <w:semiHidden/>
  </w:style>
  <w:style w:type="paragraph" w:customStyle="1" w:styleId="Titel2">
    <w:name w:val="Titel 2"/>
    <w:basedOn w:val="Kop1"/>
    <w:pPr>
      <w:outlineLvl w:val="1"/>
    </w:pPr>
    <w:rPr>
      <w:b w:val="0"/>
    </w:rPr>
  </w:style>
  <w:style w:type="paragraph" w:customStyle="1" w:styleId="Titel3">
    <w:name w:val="Titel 3"/>
    <w:basedOn w:val="Titel2"/>
    <w:pPr>
      <w:outlineLvl w:val="2"/>
    </w:pPr>
    <w:rPr>
      <w:b/>
      <w:color w:val="000000"/>
      <w:sz w:val="18"/>
    </w:rPr>
  </w:style>
  <w:style w:type="paragraph" w:styleId="Koptekst">
    <w:name w:val="header"/>
    <w:basedOn w:val="Standaard"/>
    <w:pPr>
      <w:tabs>
        <w:tab w:val="center" w:pos="4320"/>
        <w:tab w:val="right" w:pos="8640"/>
      </w:tabs>
      <w:spacing w:line="240" w:lineRule="auto"/>
    </w:pPr>
  </w:style>
  <w:style w:type="paragraph" w:styleId="Voettekst">
    <w:name w:val="footer"/>
    <w:basedOn w:val="Standaard"/>
    <w:pPr>
      <w:tabs>
        <w:tab w:val="center" w:pos="4320"/>
        <w:tab w:val="right" w:pos="8640"/>
      </w:tabs>
      <w:spacing w:line="240" w:lineRule="auto"/>
    </w:pPr>
  </w:style>
  <w:style w:type="character" w:styleId="Hyperlink">
    <w:name w:val="Hyperlink"/>
    <w:rPr>
      <w:color w:val="0000FF"/>
      <w:u w:val="single"/>
    </w:rPr>
  </w:style>
  <w:style w:type="character" w:styleId="Paginanummer">
    <w:name w:val="page number"/>
    <w:rPr>
      <w:rFonts w:ascii="Arial" w:hAnsi="Arial"/>
      <w:color w:val="4D4D4D"/>
      <w:sz w:val="12"/>
    </w:rPr>
  </w:style>
  <w:style w:type="paragraph" w:customStyle="1" w:styleId="Reference">
    <w:name w:val="Reference"/>
    <w:basedOn w:val="Standaard"/>
    <w:pPr>
      <w:spacing w:line="240" w:lineRule="auto"/>
    </w:pPr>
    <w:rPr>
      <w:sz w:val="12"/>
    </w:rPr>
  </w:style>
  <w:style w:type="paragraph" w:customStyle="1" w:styleId="Betreft">
    <w:name w:val="Betreft"/>
    <w:basedOn w:val="Standaard"/>
    <w:pPr>
      <w:spacing w:line="240" w:lineRule="auto"/>
    </w:pPr>
    <w:rPr>
      <w:rFonts w:cs="Arial"/>
      <w:szCs w:val="20"/>
    </w:rPr>
  </w:style>
  <w:style w:type="paragraph" w:customStyle="1" w:styleId="NaamBestemmeling">
    <w:name w:val="Naam Bestemmeling"/>
    <w:basedOn w:val="Standaard"/>
    <w:pPr>
      <w:jc w:val="right"/>
    </w:pPr>
    <w:rPr>
      <w:rFonts w:cs="Arial"/>
      <w:b/>
      <w:szCs w:val="20"/>
    </w:rPr>
  </w:style>
  <w:style w:type="paragraph" w:customStyle="1" w:styleId="Adres">
    <w:name w:val="Adres"/>
    <w:basedOn w:val="Standaard"/>
    <w:pPr>
      <w:spacing w:line="240" w:lineRule="auto"/>
      <w:jc w:val="right"/>
    </w:pPr>
    <w:rPr>
      <w:rFonts w:cs="Arial"/>
      <w:szCs w:val="20"/>
    </w:rPr>
  </w:style>
  <w:style w:type="paragraph" w:customStyle="1" w:styleId="CodeDGS">
    <w:name w:val="Code_DG/S"/>
    <w:basedOn w:val="Standaard"/>
    <w:pPr>
      <w:jc w:val="right"/>
    </w:pPr>
    <w:rPr>
      <w:rFonts w:cs="Arial"/>
      <w:color w:val="4D4D4D"/>
      <w:szCs w:val="18"/>
    </w:rPr>
  </w:style>
  <w:style w:type="paragraph" w:customStyle="1" w:styleId="Contact">
    <w:name w:val="Contact"/>
    <w:basedOn w:val="Voettekst"/>
    <w:rPr>
      <w:b/>
    </w:rPr>
  </w:style>
  <w:style w:type="paragraph" w:customStyle="1" w:styleId="ContactDGSDienst">
    <w:name w:val="Contact_DG/S/Dienst"/>
    <w:basedOn w:val="Voettekst"/>
  </w:style>
  <w:style w:type="paragraph" w:customStyle="1" w:styleId="Contactopeningsuren">
    <w:name w:val="Contact_openingsuren"/>
    <w:basedOn w:val="Voettekst"/>
    <w:rPr>
      <w:rFonts w:cs="Arial"/>
      <w:sz w:val="12"/>
      <w:szCs w:val="12"/>
    </w:rPr>
  </w:style>
  <w:style w:type="paragraph" w:customStyle="1" w:styleId="Handtekening1">
    <w:name w:val="Handtekening1"/>
    <w:basedOn w:val="Standaard"/>
    <w:pPr>
      <w:jc w:val="right"/>
    </w:pPr>
  </w:style>
  <w:style w:type="paragraph" w:customStyle="1" w:styleId="ContactDGSService">
    <w:name w:val="Contact_DG/S/Service"/>
    <w:basedOn w:val="Voettekst"/>
    <w:rPr>
      <w:lang w:val="fr-BE"/>
    </w:rPr>
  </w:style>
  <w:style w:type="paragraph" w:customStyle="1" w:styleId="Titel4">
    <w:name w:val="Titel 4"/>
    <w:basedOn w:val="Titel3"/>
    <w:pPr>
      <w:outlineLvl w:val="3"/>
    </w:pPr>
    <w:rPr>
      <w:smallCaps w:val="0"/>
      <w:color w:val="4B4B4B"/>
    </w:rPr>
  </w:style>
  <w:style w:type="paragraph" w:customStyle="1" w:styleId="Titel1">
    <w:name w:val="Titel 1"/>
    <w:basedOn w:val="Kop1"/>
  </w:style>
  <w:style w:type="paragraph" w:styleId="Plattetekstinspringen">
    <w:name w:val="Body Text Indent"/>
    <w:basedOn w:val="Standaard"/>
    <w:pPr>
      <w:tabs>
        <w:tab w:val="center" w:pos="2268"/>
        <w:tab w:val="left" w:pos="3635"/>
        <w:tab w:val="left" w:pos="7370"/>
      </w:tabs>
      <w:ind w:left="3635"/>
      <w:jc w:val="center"/>
    </w:pPr>
    <w:rPr>
      <w:rFonts w:cs="Arial"/>
      <w:bCs/>
      <w:iCs/>
    </w:rPr>
  </w:style>
  <w:style w:type="paragraph" w:customStyle="1" w:styleId="Standaard2">
    <w:name w:val="Standaard2"/>
    <w:basedOn w:val="Standaard"/>
    <w:pPr>
      <w:tabs>
        <w:tab w:val="left" w:pos="284"/>
        <w:tab w:val="left" w:pos="568"/>
        <w:tab w:val="left" w:pos="908"/>
        <w:tab w:val="center" w:pos="5670"/>
      </w:tabs>
      <w:suppressAutoHyphens/>
      <w:spacing w:line="240" w:lineRule="auto"/>
    </w:pPr>
    <w:rPr>
      <w:rFonts w:ascii="CG Times" w:hAnsi="CG Times"/>
      <w:i/>
      <w:sz w:val="22"/>
      <w:szCs w:val="20"/>
      <w:lang w:val="nl-NL"/>
    </w:rPr>
  </w:style>
  <w:style w:type="paragraph" w:styleId="Plattetekst">
    <w:name w:val="Body Text"/>
    <w:basedOn w:val="Standaard"/>
    <w:pPr>
      <w:tabs>
        <w:tab w:val="left" w:pos="284"/>
        <w:tab w:val="left" w:pos="568"/>
        <w:tab w:val="left" w:pos="908"/>
        <w:tab w:val="center" w:pos="5670"/>
      </w:tabs>
      <w:suppressAutoHyphens/>
      <w:jc w:val="both"/>
    </w:pPr>
    <w:rPr>
      <w:rFonts w:cs="Arial"/>
    </w:rPr>
  </w:style>
  <w:style w:type="paragraph" w:customStyle="1" w:styleId="stand">
    <w:name w:val="stand"/>
    <w:pPr>
      <w:tabs>
        <w:tab w:val="center" w:pos="2276"/>
        <w:tab w:val="left" w:pos="7010"/>
        <w:tab w:val="left" w:pos="7350"/>
      </w:tabs>
      <w:suppressAutoHyphens/>
    </w:pPr>
    <w:rPr>
      <w:sz w:val="16"/>
    </w:rPr>
  </w:style>
  <w:style w:type="paragraph" w:styleId="Ballontekst">
    <w:name w:val="Balloon Text"/>
    <w:basedOn w:val="Standaard"/>
    <w:link w:val="BallontekstChar"/>
    <w:rsid w:val="00D032F8"/>
    <w:pPr>
      <w:spacing w:line="240" w:lineRule="auto"/>
    </w:pPr>
    <w:rPr>
      <w:rFonts w:ascii="Tahoma" w:hAnsi="Tahoma" w:cs="Tahoma"/>
      <w:sz w:val="16"/>
      <w:szCs w:val="16"/>
    </w:rPr>
  </w:style>
  <w:style w:type="character" w:customStyle="1" w:styleId="BallontekstChar">
    <w:name w:val="Ballontekst Char"/>
    <w:link w:val="Ballontekst"/>
    <w:rsid w:val="00D032F8"/>
    <w:rPr>
      <w:rFonts w:ascii="Tahoma" w:hAnsi="Tahoma" w:cs="Tahoma"/>
      <w:sz w:val="16"/>
      <w:szCs w:val="16"/>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1089214">
      <w:bodyDiv w:val="1"/>
      <w:marLeft w:val="0"/>
      <w:marRight w:val="0"/>
      <w:marTop w:val="0"/>
      <w:marBottom w:val="0"/>
      <w:divBdr>
        <w:top w:val="none" w:sz="0" w:space="0" w:color="auto"/>
        <w:left w:val="none" w:sz="0" w:space="0" w:color="auto"/>
        <w:bottom w:val="none" w:sz="0" w:space="0" w:color="auto"/>
        <w:right w:val="none" w:sz="0" w:space="0" w:color="auto"/>
      </w:divBdr>
      <w:divsChild>
        <w:div w:id="77138292">
          <w:marLeft w:val="0"/>
          <w:marRight w:val="0"/>
          <w:marTop w:val="0"/>
          <w:marBottom w:val="0"/>
          <w:divBdr>
            <w:top w:val="none" w:sz="0" w:space="0" w:color="auto"/>
            <w:left w:val="none" w:sz="0" w:space="0" w:color="auto"/>
            <w:bottom w:val="none" w:sz="0" w:space="0" w:color="auto"/>
            <w:right w:val="none" w:sz="0" w:space="0" w:color="auto"/>
          </w:divBdr>
          <w:divsChild>
            <w:div w:id="1609577072">
              <w:marLeft w:val="0"/>
              <w:marRight w:val="0"/>
              <w:marTop w:val="0"/>
              <w:marBottom w:val="0"/>
              <w:divBdr>
                <w:top w:val="none" w:sz="0" w:space="0" w:color="auto"/>
                <w:left w:val="none" w:sz="0" w:space="0" w:color="auto"/>
                <w:bottom w:val="none" w:sz="0" w:space="0" w:color="auto"/>
                <w:right w:val="none" w:sz="0" w:space="0" w:color="auto"/>
              </w:divBdr>
              <w:divsChild>
                <w:div w:id="256140681">
                  <w:marLeft w:val="0"/>
                  <w:marRight w:val="0"/>
                  <w:marTop w:val="0"/>
                  <w:marBottom w:val="0"/>
                  <w:divBdr>
                    <w:top w:val="none" w:sz="0" w:space="0" w:color="auto"/>
                    <w:left w:val="none" w:sz="0" w:space="0" w:color="auto"/>
                    <w:bottom w:val="none" w:sz="0" w:space="0" w:color="auto"/>
                    <w:right w:val="none" w:sz="0" w:space="0" w:color="auto"/>
                  </w:divBdr>
                  <w:divsChild>
                    <w:div w:id="2026131755">
                      <w:marLeft w:val="0"/>
                      <w:marRight w:val="0"/>
                      <w:marTop w:val="0"/>
                      <w:marBottom w:val="0"/>
                      <w:divBdr>
                        <w:top w:val="none" w:sz="0" w:space="0" w:color="auto"/>
                        <w:left w:val="none" w:sz="0" w:space="0" w:color="auto"/>
                        <w:bottom w:val="none" w:sz="0" w:space="0" w:color="auto"/>
                        <w:right w:val="none" w:sz="0" w:space="0" w:color="auto"/>
                      </w:divBdr>
                      <w:divsChild>
                        <w:div w:id="1625962683">
                          <w:marLeft w:val="0"/>
                          <w:marRight w:val="0"/>
                          <w:marTop w:val="0"/>
                          <w:marBottom w:val="0"/>
                          <w:divBdr>
                            <w:top w:val="none" w:sz="0" w:space="0" w:color="auto"/>
                            <w:left w:val="none" w:sz="0" w:space="0" w:color="auto"/>
                            <w:bottom w:val="none" w:sz="0" w:space="0" w:color="auto"/>
                            <w:right w:val="none" w:sz="0" w:space="0" w:color="auto"/>
                          </w:divBdr>
                          <w:divsChild>
                            <w:div w:id="165101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5.wmf"/><Relationship Id="rId7" Type="http://schemas.openxmlformats.org/officeDocument/2006/relationships/hyperlink" Target="http://economie.fgov.be/" TargetMode="External"/><Relationship Id="rId2" Type="http://schemas.openxmlformats.org/officeDocument/2006/relationships/image" Target="media/image4.png"/><Relationship Id="rId1" Type="http://schemas.openxmlformats.org/officeDocument/2006/relationships/image" Target="media/image3.png"/><Relationship Id="rId6" Type="http://schemas.openxmlformats.org/officeDocument/2006/relationships/hyperlink" Target="ronald.botte@economie.fgov.be" TargetMode="External"/><Relationship Id="rId5" Type="http://schemas.openxmlformats.org/officeDocument/2006/relationships/image" Target="media/image6.png"/><Relationship Id="rId4" Type="http://schemas.openxmlformats.org/officeDocument/2006/relationships/oleObject" Target="embeddings/oleObject1.bin"/></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s\Word\Formulieren\Model2NL.dot"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Model2NL.dot</Template>
  <TotalTime>2</TotalTime>
  <Pages>6</Pages>
  <Words>1718</Words>
  <Characters>10027</Characters>
  <Application>Microsoft Office Word</Application>
  <DocSecurity>4</DocSecurity>
  <Lines>83</Lines>
  <Paragraphs>23</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&lt;logo&gt;</vt:lpstr>
      <vt:lpstr>&lt;logo&gt;</vt:lpstr>
    </vt:vector>
  </TitlesOfParts>
  <Company>SPF ECO</Company>
  <LinksUpToDate>false</LinksUpToDate>
  <CharactersWithSpaces>11722</CharactersWithSpaces>
  <SharedDoc>false</SharedDoc>
  <HLinks>
    <vt:vector size="12" baseType="variant">
      <vt:variant>
        <vt:i4>5570638</vt:i4>
      </vt:variant>
      <vt:variant>
        <vt:i4>6</vt:i4>
      </vt:variant>
      <vt:variant>
        <vt:i4>0</vt:i4>
      </vt:variant>
      <vt:variant>
        <vt:i4>5</vt:i4>
      </vt:variant>
      <vt:variant>
        <vt:lpwstr>http://economie.fgov.be/</vt:lpwstr>
      </vt:variant>
      <vt:variant>
        <vt:lpwstr/>
      </vt:variant>
      <vt:variant>
        <vt:i4>8126551</vt:i4>
      </vt:variant>
      <vt:variant>
        <vt:i4>3</vt:i4>
      </vt:variant>
      <vt:variant>
        <vt:i4>0</vt:i4>
      </vt:variant>
      <vt:variant>
        <vt:i4>5</vt:i4>
      </vt:variant>
      <vt:variant>
        <vt:lpwstr>\\mineco2000\dfs-eco\E3\0221-Assur-credit-secret\BOTTE\formulieren\ronald.botte@economie.fgov.be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&lt;logo&gt;</dc:title>
  <dc:creator>C3b09</dc:creator>
  <cp:lastModifiedBy>VAN IMPE Sigrid</cp:lastModifiedBy>
  <cp:revision>2</cp:revision>
  <cp:lastPrinted>2012-08-30T09:28:00Z</cp:lastPrinted>
  <dcterms:created xsi:type="dcterms:W3CDTF">2017-11-22T09:22:00Z</dcterms:created>
  <dcterms:modified xsi:type="dcterms:W3CDTF">2017-11-22T09:22:00Z</dcterms:modified>
</cp:coreProperties>
</file>